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7C0F" w14:textId="77777777" w:rsidR="00D85A14" w:rsidRDefault="00D85A14" w:rsidP="00D85A14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MORTI SUL LAVORO </w:t>
      </w:r>
    </w:p>
    <w:p w14:paraId="04931225" w14:textId="3F4C723F" w:rsidR="008E075B" w:rsidRDefault="007615FF" w:rsidP="00600F61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PRIMO</w:t>
      </w:r>
      <w:r w:rsidR="00256FE8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AF6151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TRIMESTRE</w:t>
      </w:r>
      <w:r w:rsidR="00256FE8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2022:</w:t>
      </w:r>
      <w:r w:rsidR="008E075B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DECESSI IN AUMENTO DEL 2,2</w:t>
      </w:r>
      <w:r w:rsidR="00301F28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%</w:t>
      </w:r>
      <w:r w:rsidR="008E075B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.</w:t>
      </w:r>
    </w:p>
    <w:p w14:paraId="10EC971C" w14:textId="4D02EEE1" w:rsidR="00600F61" w:rsidRDefault="007615FF" w:rsidP="00600F61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AB635B">
        <w:rPr>
          <w:rFonts w:ascii="Arial" w:hAnsi="Arial" w:cs="Arial"/>
          <w:b/>
          <w:bCs/>
          <w:color w:val="FF0000"/>
          <w:sz w:val="28"/>
          <w:szCs w:val="28"/>
        </w:rPr>
        <w:t>SONO</w:t>
      </w:r>
      <w:r w:rsidR="00085939" w:rsidRPr="00AB635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F6151" w:rsidRPr="00AB635B">
        <w:rPr>
          <w:rFonts w:ascii="Arial" w:hAnsi="Arial" w:cs="Arial"/>
          <w:b/>
          <w:bCs/>
          <w:color w:val="FF0000"/>
          <w:sz w:val="28"/>
          <w:szCs w:val="28"/>
        </w:rPr>
        <w:t>189</w:t>
      </w:r>
      <w:r w:rsidR="00A15926" w:rsidRPr="00AB635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B635B">
        <w:rPr>
          <w:rFonts w:ascii="Arial" w:hAnsi="Arial" w:cs="Arial"/>
          <w:b/>
          <w:bCs/>
          <w:color w:val="FF0000"/>
          <w:sz w:val="28"/>
          <w:szCs w:val="28"/>
        </w:rPr>
        <w:t>LE VITTIME</w:t>
      </w:r>
      <w:r w:rsidR="00085939" w:rsidRPr="00AB635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600F61" w:rsidRPr="00AB635B">
        <w:rPr>
          <w:rFonts w:ascii="Arial" w:hAnsi="Arial" w:cs="Arial"/>
          <w:b/>
          <w:bCs/>
          <w:color w:val="FF0000"/>
          <w:sz w:val="28"/>
          <w:szCs w:val="28"/>
        </w:rPr>
        <w:t xml:space="preserve"> 75 SOLO NEL MESE DI MARZO</w:t>
      </w:r>
      <w:r w:rsidR="00600F61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.</w:t>
      </w:r>
      <w:r w:rsidR="00AF6151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6DAE1B2B" w14:textId="49605D6A" w:rsidR="00995B25" w:rsidRDefault="00EE1240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</w:pPr>
      <w:r w:rsidRPr="00EE1240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LE DENUNCE DI INFORTUNIO </w:t>
      </w:r>
      <w:r w:rsidR="00995B25" w:rsidRPr="00EE1240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TOTALI </w:t>
      </w:r>
      <w:r w:rsidR="00995B25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CRESCONO</w:t>
      </w:r>
      <w:r w:rsidR="00C1519E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DEL </w:t>
      </w:r>
      <w:r w:rsidR="00C1519E" w:rsidRPr="00EE1240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</w:t>
      </w:r>
      <w:r w:rsidR="002B5378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51 </w:t>
      </w:r>
      <w:r w:rsidR="00C1519E" w:rsidRPr="00EE1240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%</w:t>
      </w:r>
      <w:r w:rsidR="002B5378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RISPETTO ALLO SCORSO ANNO</w:t>
      </w:r>
      <w:r w:rsidR="00C1519E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. </w:t>
      </w:r>
    </w:p>
    <w:p w14:paraId="37C97F5D" w14:textId="715608B4" w:rsidR="00031875" w:rsidRDefault="00031875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SANITA’ E TRASPORTI I SETTORI PIÙ COLPITI</w:t>
      </w:r>
    </w:p>
    <w:p w14:paraId="097316E0" w14:textId="77777777" w:rsidR="00EE1240" w:rsidRDefault="00EE1240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DBA4B67" w14:textId="5AAD5DB2" w:rsidR="00FA5E7A" w:rsidRPr="00500DED" w:rsidRDefault="00E06D33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ECCO 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LA </w:t>
      </w:r>
      <w:r w:rsidR="00320563">
        <w:rPr>
          <w:rFonts w:ascii="Arial" w:hAnsi="Arial" w:cs="Arial"/>
          <w:b/>
          <w:bCs/>
          <w:color w:val="FF0000"/>
          <w:sz w:val="28"/>
          <w:szCs w:val="28"/>
        </w:rPr>
        <w:t>MAPPATURA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 DELL’EMERGENZA</w:t>
      </w:r>
      <w:r w:rsidR="00320563">
        <w:rPr>
          <w:rFonts w:ascii="Arial" w:hAnsi="Arial" w:cs="Arial"/>
          <w:b/>
          <w:bCs/>
          <w:color w:val="FF0000"/>
          <w:sz w:val="28"/>
          <w:szCs w:val="28"/>
        </w:rPr>
        <w:t xml:space="preserve"> DELL’OSSERVATORIO VEGA ENGINEERING: PER CAPIRE 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DOVE </w:t>
      </w:r>
      <w:r w:rsidR="007F2488">
        <w:rPr>
          <w:rFonts w:ascii="Arial" w:hAnsi="Arial" w:cs="Arial"/>
          <w:b/>
          <w:bCs/>
          <w:color w:val="FF0000"/>
          <w:sz w:val="28"/>
          <w:szCs w:val="28"/>
        </w:rPr>
        <w:t xml:space="preserve">NEI PRIMI </w:t>
      </w:r>
      <w:r w:rsidR="003567C1">
        <w:rPr>
          <w:rFonts w:ascii="Arial" w:hAnsi="Arial" w:cs="Arial"/>
          <w:b/>
          <w:bCs/>
          <w:color w:val="FF0000"/>
          <w:sz w:val="28"/>
          <w:szCs w:val="28"/>
        </w:rPr>
        <w:t>TRE</w:t>
      </w:r>
      <w:r w:rsidR="007615FF">
        <w:rPr>
          <w:rFonts w:ascii="Arial" w:hAnsi="Arial" w:cs="Arial"/>
          <w:b/>
          <w:bCs/>
          <w:color w:val="FF0000"/>
          <w:sz w:val="28"/>
          <w:szCs w:val="28"/>
        </w:rPr>
        <w:t xml:space="preserve"> MES</w:t>
      </w:r>
      <w:r w:rsidR="007F2488">
        <w:rPr>
          <w:rFonts w:ascii="Arial" w:hAnsi="Arial" w:cs="Arial"/>
          <w:b/>
          <w:bCs/>
          <w:color w:val="FF0000"/>
          <w:sz w:val="28"/>
          <w:szCs w:val="28"/>
        </w:rPr>
        <w:t xml:space="preserve">I </w:t>
      </w:r>
      <w:r w:rsidR="007615FF">
        <w:rPr>
          <w:rFonts w:ascii="Arial" w:hAnsi="Arial" w:cs="Arial"/>
          <w:b/>
          <w:bCs/>
          <w:color w:val="FF0000"/>
          <w:sz w:val="28"/>
          <w:szCs w:val="28"/>
        </w:rPr>
        <w:t xml:space="preserve">DELL’ANNO 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I LAVORATORI </w:t>
      </w:r>
      <w:r w:rsidR="007615FF">
        <w:rPr>
          <w:rFonts w:ascii="Arial" w:hAnsi="Arial" w:cs="Arial"/>
          <w:b/>
          <w:bCs/>
          <w:color w:val="FF0000"/>
          <w:sz w:val="28"/>
          <w:szCs w:val="28"/>
        </w:rPr>
        <w:t>HANNO RISCHIATO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 MAGGIORMENTE LA </w:t>
      </w:r>
      <w:r w:rsidR="00FA5E7A" w:rsidRPr="00500DED">
        <w:rPr>
          <w:rFonts w:ascii="Arial" w:hAnsi="Arial" w:cs="Arial"/>
          <w:b/>
          <w:bCs/>
          <w:color w:val="FF0000"/>
          <w:sz w:val="28"/>
          <w:szCs w:val="28"/>
        </w:rPr>
        <w:t>PROPRIA VITA</w:t>
      </w:r>
      <w:r w:rsidR="00A921CB" w:rsidRPr="00500DED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695E512E" w14:textId="77777777" w:rsidR="00205DC8" w:rsidRPr="00500DED" w:rsidRDefault="00205DC8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3B387BF1" w14:textId="07C46B80" w:rsidR="000A3D2C" w:rsidRPr="00500DED" w:rsidRDefault="000A3D2C" w:rsidP="007725DF">
      <w:pPr>
        <w:shd w:val="clear" w:color="auto" w:fill="FFFFFF"/>
        <w:textAlignment w:val="top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SUL PODIO DELL’INSICUREZZ</w:t>
      </w:r>
      <w:r w:rsidR="007F34A3"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A: </w:t>
      </w:r>
      <w:bookmarkStart w:id="0" w:name="_Hlk102038611"/>
      <w:r w:rsidR="007F34A3"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MOLISE, </w:t>
      </w:r>
      <w:r w:rsidR="00271091"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VALLE D’AOSTA, TRENTINO ALTO ADIGE, </w:t>
      </w:r>
      <w:r w:rsidR="00AA7A1D"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TOSCANA</w:t>
      </w:r>
      <w:r w:rsidR="007F34A3"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E </w:t>
      </w:r>
      <w:r w:rsidR="00AA7A1D" w:rsidRPr="00500DE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MARCHE</w:t>
      </w:r>
      <w:bookmarkEnd w:id="0"/>
    </w:p>
    <w:p w14:paraId="643F0159" w14:textId="09FA5176" w:rsidR="008F6F8F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color w:val="005281"/>
          <w:sz w:val="28"/>
          <w:szCs w:val="28"/>
        </w:rPr>
      </w:pPr>
    </w:p>
    <w:p w14:paraId="18874A85" w14:textId="77777777" w:rsidR="00271091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D50101"/>
          <w:sz w:val="24"/>
          <w:szCs w:val="24"/>
        </w:rPr>
      </w:pPr>
      <w:r w:rsidRPr="00500DED">
        <w:rPr>
          <w:rFonts w:ascii="Arial" w:hAnsi="Arial" w:cs="Arial"/>
          <w:b/>
          <w:bCs/>
          <w:color w:val="D50101"/>
          <w:sz w:val="24"/>
          <w:szCs w:val="24"/>
        </w:rPr>
        <w:t xml:space="preserve">IN ZONA ROSSA: </w:t>
      </w:r>
      <w:bookmarkStart w:id="1" w:name="_Hlk102038969"/>
      <w:r w:rsidR="00271091" w:rsidRPr="00500DED">
        <w:rPr>
          <w:rFonts w:ascii="Arial" w:hAnsi="Arial" w:cs="Arial"/>
          <w:b/>
          <w:bCs/>
          <w:color w:val="D50101"/>
          <w:sz w:val="24"/>
          <w:szCs w:val="24"/>
        </w:rPr>
        <w:t xml:space="preserve">MOLISE, VALLE D’AOSTA, TRENTINO ALTO ADIGE, TOSCANA E MARCHE </w:t>
      </w:r>
    </w:p>
    <w:bookmarkEnd w:id="1"/>
    <w:p w14:paraId="6CFF9E09" w14:textId="6D70065A" w:rsidR="00AA7A1D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FF7900"/>
          <w:sz w:val="24"/>
          <w:szCs w:val="24"/>
        </w:rPr>
      </w:pPr>
      <w:r w:rsidRPr="00500DED">
        <w:rPr>
          <w:rFonts w:ascii="Arial" w:hAnsi="Arial" w:cs="Arial"/>
          <w:b/>
          <w:bCs/>
          <w:color w:val="FF7900"/>
          <w:sz w:val="24"/>
          <w:szCs w:val="24"/>
        </w:rPr>
        <w:t>IN ZONA ARANCIONE:</w:t>
      </w:r>
      <w:r w:rsidR="005B1279" w:rsidRPr="00500DED">
        <w:rPr>
          <w:rFonts w:ascii="Arial" w:hAnsi="Arial" w:cs="Arial"/>
          <w:b/>
          <w:bCs/>
          <w:color w:val="FF7900"/>
          <w:sz w:val="24"/>
          <w:szCs w:val="24"/>
        </w:rPr>
        <w:t xml:space="preserve"> </w:t>
      </w:r>
      <w:r w:rsidR="00271091" w:rsidRPr="00500DED">
        <w:rPr>
          <w:rFonts w:ascii="Arial" w:hAnsi="Arial" w:cs="Arial"/>
          <w:b/>
          <w:bCs/>
          <w:color w:val="FF7900"/>
          <w:sz w:val="24"/>
          <w:szCs w:val="24"/>
        </w:rPr>
        <w:t xml:space="preserve">PUGLIA, VENETO, ABRUZZO E </w:t>
      </w:r>
      <w:r w:rsidR="00AA7A1D" w:rsidRPr="00500DED">
        <w:rPr>
          <w:rFonts w:ascii="Arial" w:hAnsi="Arial" w:cs="Arial"/>
          <w:b/>
          <w:bCs/>
          <w:color w:val="FF7900"/>
          <w:sz w:val="24"/>
          <w:szCs w:val="24"/>
        </w:rPr>
        <w:t>LOMBARDIA</w:t>
      </w:r>
    </w:p>
    <w:p w14:paraId="014BE1F5" w14:textId="3A14E5DA" w:rsidR="00271091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FFB600"/>
          <w:sz w:val="24"/>
          <w:szCs w:val="24"/>
        </w:rPr>
      </w:pPr>
      <w:bookmarkStart w:id="2" w:name="_Hlk99620742"/>
      <w:bookmarkStart w:id="3" w:name="_Hlk83894984"/>
      <w:r w:rsidRPr="00500DED">
        <w:rPr>
          <w:rFonts w:ascii="Arial" w:hAnsi="Arial" w:cs="Arial"/>
          <w:b/>
          <w:bCs/>
          <w:color w:val="FFB600"/>
          <w:sz w:val="24"/>
          <w:szCs w:val="24"/>
        </w:rPr>
        <w:t>IN ZONA GIALLA</w:t>
      </w:r>
      <w:bookmarkStart w:id="4" w:name="_Hlk96941842"/>
      <w:r w:rsidRPr="00500DED">
        <w:rPr>
          <w:rFonts w:ascii="Arial" w:hAnsi="Arial" w:cs="Arial"/>
          <w:b/>
          <w:bCs/>
          <w:color w:val="FFB600"/>
          <w:sz w:val="24"/>
          <w:szCs w:val="24"/>
        </w:rPr>
        <w:t>:</w:t>
      </w:r>
      <w:bookmarkStart w:id="5" w:name="_Hlk75956799"/>
      <w:bookmarkStart w:id="6" w:name="_Hlk81306422"/>
      <w:r w:rsidR="00425D7E" w:rsidRPr="00500DED">
        <w:rPr>
          <w:rFonts w:ascii="Arial" w:hAnsi="Arial" w:cs="Arial"/>
          <w:b/>
          <w:bCs/>
          <w:color w:val="FFB600"/>
          <w:sz w:val="24"/>
          <w:szCs w:val="24"/>
        </w:rPr>
        <w:t xml:space="preserve"> </w:t>
      </w:r>
      <w:bookmarkEnd w:id="4"/>
      <w:bookmarkEnd w:id="5"/>
      <w:r w:rsidR="00271091" w:rsidRPr="00500DED">
        <w:rPr>
          <w:rFonts w:ascii="Arial" w:hAnsi="Arial" w:cs="Arial"/>
          <w:b/>
          <w:bCs/>
          <w:color w:val="FFB600"/>
          <w:sz w:val="24"/>
          <w:szCs w:val="24"/>
        </w:rPr>
        <w:t>SICILIA, CALABRIA, UMBRIA, EMILIA ROMAGNA, SARDEGNA, PIEMONTE, CAMPANIA E LAZIO</w:t>
      </w:r>
    </w:p>
    <w:bookmarkEnd w:id="2"/>
    <w:bookmarkEnd w:id="3"/>
    <w:bookmarkEnd w:id="6"/>
    <w:p w14:paraId="37755129" w14:textId="5D8F4C68" w:rsidR="004E40DA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IN ZONA BIANCA: </w:t>
      </w:r>
      <w:bookmarkStart w:id="7" w:name="_Hlk86402907"/>
      <w:r w:rsidR="00AA7A1D"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FRIULI</w:t>
      </w:r>
      <w:r w:rsidR="00271091"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VENEZIA GIULIA</w:t>
      </w:r>
      <w:r w:rsidR="00AA7A1D"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LIGURIA</w:t>
      </w:r>
      <w:r w:rsidR="00271091"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E </w:t>
      </w:r>
      <w:r w:rsidR="00AA7A1D"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B</w:t>
      </w:r>
      <w:r w:rsidR="00E84D4B" w:rsidRPr="00500DED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ASILICATA</w:t>
      </w:r>
    </w:p>
    <w:p w14:paraId="087CA5B0" w14:textId="6D2C76C6" w:rsidR="004E6407" w:rsidRPr="00500DED" w:rsidRDefault="004E6407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bookmarkEnd w:id="7"/>
    <w:p w14:paraId="3D9DF5D5" w14:textId="6237F405" w:rsidR="008F6F8F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color w:val="1F3864" w:themeColor="accent1" w:themeShade="80"/>
        </w:rPr>
      </w:pPr>
      <w:r w:rsidRPr="00500DED">
        <w:rPr>
          <w:rFonts w:ascii="Arial" w:hAnsi="Arial" w:cs="Arial"/>
          <w:color w:val="1F3864" w:themeColor="accent1" w:themeShade="80"/>
        </w:rPr>
        <w:t xml:space="preserve">LA ZONIZZAZIONE A COLORI È LA RAPPRESENTAZIONE GRAFICA ELABORATA DALL’OSSERVATORIO SICUREZZA SUL LAVORO VEGA ENGINEERING DI MESTRE, </w:t>
      </w:r>
      <w:bookmarkStart w:id="8" w:name="_Hlk83890258"/>
      <w:r w:rsidRPr="00500DED">
        <w:rPr>
          <w:rFonts w:ascii="Arial" w:hAnsi="Arial" w:cs="Arial"/>
          <w:color w:val="1F3864" w:themeColor="accent1" w:themeShade="80"/>
        </w:rPr>
        <w:t xml:space="preserve">PER FOTOGRAFARE, ALLA STREGUA DELLA PANDEMIA, L’EMERGENZA MORTI </w:t>
      </w:r>
      <w:r w:rsidR="00861762" w:rsidRPr="00500DED">
        <w:rPr>
          <w:rFonts w:ascii="Arial" w:hAnsi="Arial" w:cs="Arial"/>
          <w:color w:val="1F3864" w:themeColor="accent1" w:themeShade="80"/>
        </w:rPr>
        <w:t>SUL LAVORO</w:t>
      </w:r>
      <w:r w:rsidRPr="00500DED">
        <w:rPr>
          <w:rFonts w:ascii="Arial" w:hAnsi="Arial" w:cs="Arial"/>
          <w:color w:val="1F3864" w:themeColor="accent1" w:themeShade="80"/>
        </w:rPr>
        <w:t xml:space="preserve"> IN ITALIA. </w:t>
      </w:r>
    </w:p>
    <w:bookmarkEnd w:id="8"/>
    <w:p w14:paraId="3C230961" w14:textId="5120EE7D" w:rsidR="000472DE" w:rsidRPr="00500DED" w:rsidRDefault="000472DE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272727"/>
          <w:sz w:val="21"/>
          <w:szCs w:val="21"/>
        </w:rPr>
      </w:pPr>
    </w:p>
    <w:p w14:paraId="0671AC58" w14:textId="792F26A7" w:rsidR="008F6F8F" w:rsidRPr="00D0002C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1"/>
          <w:szCs w:val="21"/>
        </w:rPr>
      </w:pPr>
      <w:r w:rsidRPr="00500DED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IL RISCHIO</w:t>
      </w: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DI MORTE, REGIONE PER REGIONE</w:t>
      </w:r>
      <w:r w:rsidR="00811ED3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</w:t>
      </w:r>
      <w:r w:rsidR="007F2488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NEL PRIMO </w:t>
      </w:r>
      <w:r w:rsidR="003567C1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TRIMESTRE</w:t>
      </w:r>
      <w:r w:rsidR="007F2488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DEL</w:t>
      </w:r>
      <w:r w:rsidR="007615FF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2022</w:t>
      </w: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.</w:t>
      </w:r>
    </w:p>
    <w:p w14:paraId="51ED540E" w14:textId="5AE64622" w:rsidR="008F6F8F" w:rsidRPr="00D0002C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1"/>
          <w:szCs w:val="21"/>
        </w:rPr>
      </w:pP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DALLA ZONA ROSSA</w:t>
      </w:r>
      <w:r w:rsidR="00835513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</w:t>
      </w: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ALLA ZONA BIANCA</w:t>
      </w:r>
      <w:r w:rsidR="00192497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.</w:t>
      </w:r>
    </w:p>
    <w:p w14:paraId="69E94B25" w14:textId="569F1F76" w:rsidR="008E075B" w:rsidRDefault="00A7465E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D0002C">
        <w:rPr>
          <w:rFonts w:ascii="Arial" w:hAnsi="Arial" w:cs="Arial"/>
          <w:color w:val="323E4F" w:themeColor="text2" w:themeShade="BF"/>
          <w:sz w:val="28"/>
          <w:szCs w:val="28"/>
        </w:rPr>
        <w:t>“</w:t>
      </w:r>
      <w:r w:rsidR="003567C1" w:rsidRPr="00D0002C">
        <w:rPr>
          <w:rFonts w:ascii="Arial" w:hAnsi="Arial" w:cs="Arial"/>
          <w:color w:val="323E4F" w:themeColor="text2" w:themeShade="BF"/>
          <w:sz w:val="28"/>
          <w:szCs w:val="28"/>
        </w:rPr>
        <w:t>U</w:t>
      </w:r>
      <w:r w:rsidR="00A67097" w:rsidRPr="00D0002C">
        <w:rPr>
          <w:rFonts w:ascii="Arial" w:hAnsi="Arial" w:cs="Arial"/>
          <w:color w:val="323E4F" w:themeColor="text2" w:themeShade="BF"/>
          <w:sz w:val="28"/>
          <w:szCs w:val="28"/>
        </w:rPr>
        <w:t>n trimestre drammatico per le morti sul lavoro nel nostro Paese: 189 vittime da gennaio a marzo</w:t>
      </w:r>
      <w:r w:rsidR="008E075B">
        <w:rPr>
          <w:rFonts w:ascii="Arial" w:hAnsi="Arial" w:cs="Arial"/>
          <w:color w:val="323E4F" w:themeColor="text2" w:themeShade="BF"/>
          <w:sz w:val="28"/>
          <w:szCs w:val="28"/>
        </w:rPr>
        <w:t xml:space="preserve"> (+2,2% rispetto al 2021). C</w:t>
      </w:r>
      <w:r w:rsidR="00A67097" w:rsidRPr="00D0002C">
        <w:rPr>
          <w:rFonts w:ascii="Arial" w:hAnsi="Arial" w:cs="Arial"/>
          <w:color w:val="323E4F" w:themeColor="text2" w:themeShade="BF"/>
          <w:sz w:val="28"/>
          <w:szCs w:val="28"/>
        </w:rPr>
        <w:t>on un incremento tragico dei decessi da fine febbraio a fine marzo, pari al 66% (75 morti in più).</w:t>
      </w:r>
    </w:p>
    <w:p w14:paraId="1766D85C" w14:textId="10A375C2" w:rsidR="007615FF" w:rsidRDefault="00592DA6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>C</w:t>
      </w:r>
      <w:r w:rsidR="007F2488" w:rsidRPr="00D0002C">
        <w:rPr>
          <w:rFonts w:ascii="Arial" w:hAnsi="Arial" w:cs="Arial"/>
          <w:color w:val="323E4F" w:themeColor="text2" w:themeShade="BF"/>
          <w:sz w:val="28"/>
          <w:szCs w:val="28"/>
        </w:rPr>
        <w:t>ontemporaneamente</w:t>
      </w:r>
      <w:r w:rsidR="00A67097" w:rsidRPr="00D0002C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7F2488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crescono </w:t>
      </w:r>
      <w:r w:rsidR="00A67097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in modo significativo purtroppo anche </w:t>
      </w:r>
      <w:r w:rsidR="00D97733" w:rsidRPr="00D0002C">
        <w:rPr>
          <w:rFonts w:ascii="Arial" w:hAnsi="Arial" w:cs="Arial"/>
          <w:color w:val="323E4F" w:themeColor="text2" w:themeShade="BF"/>
          <w:sz w:val="28"/>
          <w:szCs w:val="28"/>
        </w:rPr>
        <w:t>le denunce totali di infortunio</w:t>
      </w:r>
      <w:r w:rsidR="007F2488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AD40C5" w:rsidRPr="00D0002C">
        <w:rPr>
          <w:rFonts w:ascii="Arial" w:hAnsi="Arial" w:cs="Arial"/>
          <w:color w:val="323E4F" w:themeColor="text2" w:themeShade="BF"/>
          <w:sz w:val="28"/>
          <w:szCs w:val="28"/>
        </w:rPr>
        <w:t>(+</w:t>
      </w:r>
      <w:r w:rsidR="00A67097" w:rsidRPr="00D0002C">
        <w:rPr>
          <w:rFonts w:ascii="Arial" w:hAnsi="Arial" w:cs="Arial"/>
          <w:color w:val="323E4F" w:themeColor="text2" w:themeShade="BF"/>
          <w:sz w:val="28"/>
          <w:szCs w:val="28"/>
        </w:rPr>
        <w:t>51</w:t>
      </w:r>
      <w:r w:rsidR="00AD40C5" w:rsidRPr="00D0002C">
        <w:rPr>
          <w:rFonts w:ascii="Arial" w:hAnsi="Arial" w:cs="Arial"/>
          <w:color w:val="323E4F" w:themeColor="text2" w:themeShade="BF"/>
          <w:sz w:val="28"/>
          <w:szCs w:val="28"/>
        </w:rPr>
        <w:t>%</w:t>
      </w:r>
      <w:r w:rsidR="005E7FE2">
        <w:rPr>
          <w:rFonts w:ascii="Arial" w:hAnsi="Arial" w:cs="Arial"/>
          <w:color w:val="323E4F" w:themeColor="text2" w:themeShade="BF"/>
          <w:sz w:val="28"/>
          <w:szCs w:val="28"/>
        </w:rPr>
        <w:t xml:space="preserve"> rispetto allo scorso anno</w:t>
      </w:r>
      <w:r w:rsidR="00AD40C5" w:rsidRPr="00D0002C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79052C" w:rsidRPr="00D0002C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5E7FE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BD19EB" w:rsidRPr="00D0002C">
        <w:rPr>
          <w:rFonts w:ascii="Arial" w:hAnsi="Arial" w:cs="Arial"/>
          <w:color w:val="323E4F" w:themeColor="text2" w:themeShade="BF"/>
          <w:sz w:val="28"/>
          <w:szCs w:val="28"/>
        </w:rPr>
        <w:t>Ma a delineare ancor più profondamente l’emergenza</w:t>
      </w:r>
      <w:r w:rsidR="00CC6170" w:rsidRPr="00D0002C">
        <w:rPr>
          <w:rFonts w:ascii="Arial" w:hAnsi="Arial" w:cs="Arial"/>
          <w:color w:val="323E4F" w:themeColor="text2" w:themeShade="BF"/>
          <w:sz w:val="28"/>
          <w:szCs w:val="28"/>
        </w:rPr>
        <w:t>, regione per regione,</w:t>
      </w:r>
      <w:r w:rsidR="00BD19EB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è l’indice</w:t>
      </w:r>
      <w:r w:rsidR="009136FC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di incidenza</w:t>
      </w:r>
      <w:r w:rsidR="00901096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della mortalità</w:t>
      </w:r>
      <w:r w:rsidR="00CC6170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, </w:t>
      </w:r>
      <w:r w:rsidR="00B60312" w:rsidRPr="00D0002C">
        <w:rPr>
          <w:rFonts w:ascii="Arial" w:hAnsi="Arial" w:cs="Arial"/>
          <w:color w:val="323E4F" w:themeColor="text2" w:themeShade="BF"/>
          <w:sz w:val="28"/>
          <w:szCs w:val="28"/>
        </w:rPr>
        <w:t>cioè il rapporto degli infortuni mortali</w:t>
      </w:r>
      <w:r w:rsidR="00901096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B60312" w:rsidRPr="00D0002C">
        <w:rPr>
          <w:rFonts w:ascii="Arial" w:hAnsi="Arial" w:cs="Arial"/>
          <w:color w:val="323E4F" w:themeColor="text2" w:themeShade="BF"/>
          <w:sz w:val="28"/>
          <w:szCs w:val="28"/>
        </w:rPr>
        <w:t>rispetto</w:t>
      </w:r>
      <w:r w:rsidR="0034323B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alla popolazione lavorativ</w:t>
      </w:r>
      <w:r w:rsidR="009F2066" w:rsidRPr="00D0002C">
        <w:rPr>
          <w:rFonts w:ascii="Arial" w:hAnsi="Arial" w:cs="Arial"/>
          <w:color w:val="323E4F" w:themeColor="text2" w:themeShade="BF"/>
          <w:sz w:val="28"/>
          <w:szCs w:val="28"/>
        </w:rPr>
        <w:t>a</w:t>
      </w:r>
      <w:r w:rsidR="006F78E4">
        <w:rPr>
          <w:rFonts w:ascii="Arial" w:hAnsi="Arial" w:cs="Arial"/>
          <w:color w:val="323E4F" w:themeColor="text2" w:themeShade="BF"/>
          <w:sz w:val="28"/>
          <w:szCs w:val="28"/>
        </w:rPr>
        <w:t xml:space="preserve">, la cui media in Italia </w:t>
      </w:r>
      <w:r w:rsidR="009F2066" w:rsidRPr="00D0002C">
        <w:rPr>
          <w:rFonts w:ascii="Arial" w:hAnsi="Arial" w:cs="Arial"/>
          <w:color w:val="323E4F" w:themeColor="text2" w:themeShade="BF"/>
          <w:sz w:val="28"/>
          <w:szCs w:val="28"/>
        </w:rPr>
        <w:t>ne</w:t>
      </w:r>
      <w:r w:rsidR="00AA21D6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="009F2066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primi tre </w:t>
      </w:r>
      <w:r w:rsidR="009F2066" w:rsidRPr="00AA21D6">
        <w:rPr>
          <w:rFonts w:ascii="Arial" w:hAnsi="Arial" w:cs="Arial"/>
          <w:color w:val="323E4F" w:themeColor="text2" w:themeShade="BF"/>
          <w:sz w:val="28"/>
          <w:szCs w:val="28"/>
        </w:rPr>
        <w:t>mesi dell’anno è di</w:t>
      </w:r>
      <w:r w:rsidR="00500DED" w:rsidRPr="00AA21D6">
        <w:rPr>
          <w:rFonts w:ascii="Arial" w:hAnsi="Arial" w:cs="Arial"/>
          <w:color w:val="323E4F" w:themeColor="text2" w:themeShade="BF"/>
          <w:sz w:val="28"/>
          <w:szCs w:val="28"/>
        </w:rPr>
        <w:t xml:space="preserve"> 6 decessi </w:t>
      </w:r>
      <w:r w:rsidR="006705C8">
        <w:rPr>
          <w:rFonts w:ascii="Arial" w:hAnsi="Arial" w:cs="Arial"/>
          <w:color w:val="323E4F" w:themeColor="text2" w:themeShade="BF"/>
          <w:sz w:val="28"/>
          <w:szCs w:val="28"/>
        </w:rPr>
        <w:t>ogni</w:t>
      </w:r>
      <w:r w:rsidR="00500DED" w:rsidRPr="00AA21D6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AA21D6" w:rsidRPr="00AA21D6">
        <w:rPr>
          <w:rFonts w:ascii="Arial" w:hAnsi="Arial" w:cs="Arial"/>
          <w:color w:val="323E4F" w:themeColor="text2" w:themeShade="BF"/>
          <w:sz w:val="28"/>
          <w:szCs w:val="28"/>
        </w:rPr>
        <w:t>milione di occupati”</w:t>
      </w:r>
      <w:r w:rsidR="00266A46" w:rsidRPr="00AA21D6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>.</w:t>
      </w:r>
      <w:r w:rsidR="00CC6170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1474B81E" w14:textId="0DC13C8B" w:rsidR="00374718" w:rsidRPr="003F614B" w:rsidRDefault="00CC6170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E’ questa l’introduzione di </w:t>
      </w:r>
      <w:hyperlink r:id="rId8" w:history="1">
        <w:r w:rsidR="00C84C0F" w:rsidRPr="00C945A6">
          <w:rPr>
            <w:rStyle w:val="Collegamentoipertestuale"/>
            <w:rFonts w:ascii="Arial" w:hAnsi="Arial" w:cs="Arial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Mauro</w:t>
        </w:r>
        <w:r w:rsidR="009872C6" w:rsidRPr="00C945A6">
          <w:rPr>
            <w:rStyle w:val="Collegamentoipertestuale"/>
            <w:rFonts w:ascii="Arial" w:hAnsi="Arial" w:cs="Arial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</w:t>
        </w:r>
        <w:r w:rsidR="00C84C0F" w:rsidRPr="00C945A6">
          <w:rPr>
            <w:rStyle w:val="Collegamentoipertestuale"/>
            <w:rFonts w:ascii="Arial" w:hAnsi="Arial" w:cs="Arial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Rossato</w:t>
        </w:r>
      </w:hyperlink>
      <w:r w:rsidR="00C84C0F" w:rsidRPr="003F614B">
        <w:rPr>
          <w:rFonts w:ascii="Arial" w:hAnsi="Arial" w:cs="Arial"/>
          <w:color w:val="323E4F" w:themeColor="text2" w:themeShade="BF"/>
          <w:sz w:val="28"/>
          <w:szCs w:val="28"/>
        </w:rPr>
        <w:t>, Presidente dell’</w:t>
      </w:r>
      <w:hyperlink r:id="rId9" w:history="1">
        <w:r w:rsidR="00C84C0F" w:rsidRPr="003F614B">
          <w:rPr>
            <w:rStyle w:val="Collegamentoipertestuale"/>
            <w:rFonts w:ascii="Arial" w:hAnsi="Arial" w:cs="Arial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Osservatorio</w:t>
        </w:r>
      </w:hyperlink>
      <w:r w:rsidR="00C84C0F"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 Sicurezza sul Lavoro </w:t>
      </w:r>
      <w:hyperlink r:id="rId10" w:history="1">
        <w:r w:rsidR="00C84C0F" w:rsidRPr="003F614B">
          <w:rPr>
            <w:rStyle w:val="Collegamentoipertestuale"/>
            <w:rFonts w:ascii="Arial" w:hAnsi="Arial" w:cs="Arial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Vega Engineering</w:t>
        </w:r>
      </w:hyperlink>
      <w:r w:rsidR="00C84C0F"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 di Mestre</w:t>
      </w:r>
      <w:r w:rsidR="00B60312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36716A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>
        <w:rPr>
          <w:rFonts w:ascii="Arial" w:hAnsi="Arial" w:cs="Arial"/>
          <w:color w:val="323E4F" w:themeColor="text2" w:themeShade="BF"/>
          <w:sz w:val="28"/>
          <w:szCs w:val="28"/>
        </w:rPr>
        <w:t>al</w:t>
      </w:r>
      <w:r w:rsidR="0002370D">
        <w:rPr>
          <w:rFonts w:ascii="Arial" w:hAnsi="Arial" w:cs="Arial"/>
          <w:color w:val="323E4F" w:themeColor="text2" w:themeShade="BF"/>
          <w:sz w:val="28"/>
          <w:szCs w:val="28"/>
        </w:rPr>
        <w:t>l’ultima in</w:t>
      </w:r>
      <w:r w:rsidR="00AF60B9">
        <w:rPr>
          <w:rFonts w:ascii="Arial" w:hAnsi="Arial" w:cs="Arial"/>
          <w:color w:val="323E4F" w:themeColor="text2" w:themeShade="BF"/>
          <w:sz w:val="28"/>
          <w:szCs w:val="28"/>
        </w:rPr>
        <w:t>dagine e zonizzazione del rischio di morte per i lavoratori del nostro Paese</w:t>
      </w:r>
      <w:r w:rsid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che, </w:t>
      </w:r>
      <w:r w:rsidR="000A47BD">
        <w:rPr>
          <w:rFonts w:ascii="Arial" w:hAnsi="Arial" w:cs="Arial"/>
          <w:color w:val="323E4F" w:themeColor="text2" w:themeShade="BF"/>
          <w:sz w:val="28"/>
          <w:szCs w:val="28"/>
        </w:rPr>
        <w:lastRenderedPageBreak/>
        <w:t>l’Osservatorio</w:t>
      </w:r>
      <w:r w:rsidR="00D85A14">
        <w:rPr>
          <w:rFonts w:ascii="Arial" w:hAnsi="Arial" w:cs="Arial"/>
          <w:color w:val="323E4F" w:themeColor="text2" w:themeShade="BF"/>
          <w:sz w:val="28"/>
          <w:szCs w:val="28"/>
        </w:rPr>
        <w:t xml:space="preserve"> mestrino</w:t>
      </w:r>
      <w:r w:rsidR="00E11909">
        <w:rPr>
          <w:rFonts w:ascii="Arial" w:hAnsi="Arial" w:cs="Arial"/>
          <w:color w:val="323E4F" w:themeColor="text2" w:themeShade="BF"/>
          <w:sz w:val="28"/>
          <w:szCs w:val="28"/>
        </w:rPr>
        <w:t>, descrive - alla stregua della pandemia - dividendo l’Italia a colori.</w:t>
      </w:r>
      <w:r w:rsidR="00374718"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60BCF2A0" w14:textId="7B78AE05" w:rsidR="00374718" w:rsidRPr="003F614B" w:rsidRDefault="00374718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202F779B" w14:textId="2D81AB54" w:rsidR="00C047A7" w:rsidRPr="00C047A7" w:rsidRDefault="002E0768" w:rsidP="00C047A7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B60312">
        <w:rPr>
          <w:rFonts w:ascii="Arial" w:hAnsi="Arial" w:cs="Arial"/>
          <w:color w:val="323E4F" w:themeColor="text2" w:themeShade="BF"/>
          <w:sz w:val="28"/>
          <w:szCs w:val="28"/>
        </w:rPr>
        <w:t>A f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>inire in </w:t>
      </w:r>
      <w:r w:rsidR="008F6F8F" w:rsidRPr="00B60312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zona rossa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> </w:t>
      </w:r>
      <w:r w:rsidR="000233B3">
        <w:rPr>
          <w:rFonts w:ascii="Arial" w:hAnsi="Arial" w:cs="Arial"/>
          <w:color w:val="323E4F" w:themeColor="text2" w:themeShade="BF"/>
          <w:sz w:val="28"/>
          <w:szCs w:val="28"/>
        </w:rPr>
        <w:t xml:space="preserve">al termine 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 xml:space="preserve">del </w:t>
      </w:r>
      <w:r w:rsidR="00F7303A">
        <w:rPr>
          <w:rFonts w:ascii="Arial" w:hAnsi="Arial" w:cs="Arial"/>
          <w:color w:val="323E4F" w:themeColor="text2" w:themeShade="BF"/>
          <w:sz w:val="28"/>
          <w:szCs w:val="28"/>
        </w:rPr>
        <w:t xml:space="preserve">primo </w:t>
      </w:r>
      <w:r w:rsidR="009F2066">
        <w:rPr>
          <w:rFonts w:ascii="Arial" w:hAnsi="Arial" w:cs="Arial"/>
          <w:color w:val="323E4F" w:themeColor="text2" w:themeShade="BF"/>
          <w:sz w:val="28"/>
          <w:szCs w:val="28"/>
        </w:rPr>
        <w:t>trimestre</w:t>
      </w:r>
      <w:r w:rsidR="00F7303A">
        <w:rPr>
          <w:rFonts w:ascii="Arial" w:hAnsi="Arial" w:cs="Arial"/>
          <w:color w:val="323E4F" w:themeColor="text2" w:themeShade="BF"/>
          <w:sz w:val="28"/>
          <w:szCs w:val="28"/>
        </w:rPr>
        <w:t xml:space="preserve"> del 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>202</w:t>
      </w:r>
      <w:r w:rsidR="00F7303A">
        <w:rPr>
          <w:rFonts w:ascii="Arial" w:hAnsi="Arial" w:cs="Arial"/>
          <w:color w:val="323E4F" w:themeColor="text2" w:themeShade="BF"/>
          <w:sz w:val="28"/>
          <w:szCs w:val="28"/>
        </w:rPr>
        <w:t>2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 xml:space="preserve"> con un’incidenza maggiore del 25% rispetto alla media nazionale (</w:t>
      </w:r>
      <w:r w:rsidR="008F6F8F" w:rsidRPr="00C047A7">
        <w:rPr>
          <w:rFonts w:ascii="Arial" w:hAnsi="Arial" w:cs="Arial"/>
          <w:color w:val="323E4F" w:themeColor="text2" w:themeShade="BF"/>
          <w:sz w:val="28"/>
          <w:szCs w:val="28"/>
        </w:rPr>
        <w:t>Im=Indice incidenza medio</w:t>
      </w:r>
      <w:r w:rsidR="00B60312" w:rsidRPr="00C047A7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8F6F8F" w:rsidRPr="00C047A7">
        <w:rPr>
          <w:rFonts w:ascii="Arial" w:hAnsi="Arial" w:cs="Arial"/>
          <w:color w:val="323E4F" w:themeColor="text2" w:themeShade="BF"/>
          <w:sz w:val="28"/>
          <w:szCs w:val="28"/>
        </w:rPr>
        <w:t xml:space="preserve"> pari </w:t>
      </w:r>
      <w:r w:rsidR="00253F0D" w:rsidRPr="00C047A7">
        <w:rPr>
          <w:rFonts w:ascii="Arial" w:hAnsi="Arial" w:cs="Arial"/>
          <w:color w:val="323E4F" w:themeColor="text2" w:themeShade="BF"/>
          <w:sz w:val="28"/>
          <w:szCs w:val="28"/>
        </w:rPr>
        <w:t xml:space="preserve">a </w:t>
      </w:r>
      <w:r w:rsidR="00C047A7" w:rsidRPr="00C047A7">
        <w:rPr>
          <w:rFonts w:ascii="Arial" w:hAnsi="Arial" w:cs="Arial"/>
          <w:color w:val="323E4F" w:themeColor="text2" w:themeShade="BF"/>
          <w:sz w:val="28"/>
          <w:szCs w:val="28"/>
        </w:rPr>
        <w:t>6</w:t>
      </w:r>
      <w:r w:rsidR="008F6F8F" w:rsidRPr="00C047A7">
        <w:rPr>
          <w:rFonts w:ascii="Arial" w:hAnsi="Arial" w:cs="Arial"/>
          <w:color w:val="323E4F" w:themeColor="text2" w:themeShade="BF"/>
          <w:sz w:val="28"/>
          <w:szCs w:val="28"/>
        </w:rPr>
        <w:t xml:space="preserve"> morti ogni milione di lavoratori) sono</w:t>
      </w:r>
      <w:r w:rsidR="007E5A6F"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: </w:t>
      </w:r>
      <w:r w:rsidR="00C047A7"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Molise, Valle D’</w:t>
      </w:r>
      <w:r w:rsid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A</w:t>
      </w:r>
      <w:r w:rsidR="00C047A7"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osta, Trentino Alto Adige, Toscana </w:t>
      </w:r>
      <w:r w:rsid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="00C047A7"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Marche </w:t>
      </w:r>
    </w:p>
    <w:p w14:paraId="6A8DD954" w14:textId="41299438" w:rsidR="00C047A7" w:rsidRPr="00C047A7" w:rsidRDefault="00C047A7" w:rsidP="0014450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In Zona Arancione</w:t>
      </w:r>
      <w:r w:rsidRPr="00C047A7">
        <w:rPr>
          <w:rFonts w:ascii="Arial" w:hAnsi="Arial" w:cs="Arial"/>
          <w:color w:val="323E4F" w:themeColor="text2" w:themeShade="BF"/>
          <w:sz w:val="28"/>
          <w:szCs w:val="28"/>
        </w:rPr>
        <w:t xml:space="preserve">: </w:t>
      </w: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Puglia, Veneto, Abruzzo </w:t>
      </w:r>
      <w:r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Lombardia </w:t>
      </w:r>
    </w:p>
    <w:p w14:paraId="06F8A8CC" w14:textId="60925AA0" w:rsidR="00C047A7" w:rsidRPr="00C047A7" w:rsidRDefault="00C047A7" w:rsidP="00C047A7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In Zona Gialla: Sicilia, Calabria, Umbria, Emilia Romagna, Sardegna, Piemonte, Campania </w:t>
      </w:r>
      <w:r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Lazio.</w:t>
      </w:r>
    </w:p>
    <w:p w14:paraId="34DF9FA7" w14:textId="49F6A766" w:rsidR="00C047A7" w:rsidRDefault="00C047A7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In Zona Bianca: Friuli Venezia Giulia, Liguria </w:t>
      </w:r>
      <w:r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Pr="00C047A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Basilicata</w:t>
      </w:r>
      <w:r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</w:p>
    <w:p w14:paraId="6C4638AE" w14:textId="696077C5" w:rsidR="008F6F8F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Cs/>
          <w:color w:val="323E4F" w:themeColor="text2" w:themeShade="BF"/>
          <w:sz w:val="28"/>
          <w:szCs w:val="28"/>
        </w:rPr>
      </w:pPr>
      <w:r w:rsidRPr="007E5A6F">
        <w:rPr>
          <w:rFonts w:ascii="Arial" w:hAnsi="Arial" w:cs="Arial"/>
          <w:color w:val="323E4F" w:themeColor="text2" w:themeShade="BF"/>
          <w:sz w:val="28"/>
          <w:szCs w:val="28"/>
        </w:rPr>
        <w:t>(In allegato e sul sito </w:t>
      </w:r>
      <w:r w:rsidR="00BA64C0" w:rsidRPr="007E5A6F">
        <w:rPr>
          <w:rFonts w:ascii="Arial" w:hAnsi="Arial" w:cs="Arial"/>
          <w:color w:val="323E4F" w:themeColor="text2" w:themeShade="BF"/>
          <w:sz w:val="28"/>
          <w:szCs w:val="28"/>
          <w:u w:val="single"/>
        </w:rPr>
        <w:t>www.</w:t>
      </w:r>
      <w:hyperlink r:id="rId11" w:history="1">
        <w:r w:rsidRPr="007E5A6F">
          <w:rPr>
            <w:rFonts w:ascii="Arial" w:hAnsi="Arial" w:cs="Arial"/>
            <w:color w:val="323E4F" w:themeColor="text2" w:themeShade="BF"/>
            <w:sz w:val="28"/>
            <w:szCs w:val="28"/>
            <w:u w:val="single"/>
          </w:rPr>
          <w:t>vegaengineering.com</w:t>
        </w:r>
      </w:hyperlink>
      <w:r w:rsidRPr="007E5A6F">
        <w:rPr>
          <w:rFonts w:ascii="Arial" w:hAnsi="Arial" w:cs="Arial"/>
          <w:color w:val="323E4F" w:themeColor="text2" w:themeShade="BF"/>
          <w:sz w:val="28"/>
          <w:szCs w:val="28"/>
        </w:rPr>
        <w:t> sono disponibili i grafici e i dati</w:t>
      </w:r>
      <w:r w:rsidRPr="007E5A6F">
        <w:rPr>
          <w:rFonts w:ascii="Arial" w:hAnsi="Arial" w:cs="Arial"/>
          <w:bCs/>
          <w:color w:val="323E4F" w:themeColor="text2" w:themeShade="BF"/>
          <w:sz w:val="28"/>
          <w:szCs w:val="28"/>
        </w:rPr>
        <w:t>).</w:t>
      </w:r>
      <w:r w:rsidR="00404DED">
        <w:rPr>
          <w:rFonts w:ascii="Arial" w:hAnsi="Arial" w:cs="Arial"/>
          <w:bCs/>
          <w:color w:val="323E4F" w:themeColor="text2" w:themeShade="BF"/>
          <w:sz w:val="28"/>
          <w:szCs w:val="28"/>
        </w:rPr>
        <w:t xml:space="preserve"> </w:t>
      </w:r>
    </w:p>
    <w:p w14:paraId="4B82FEAE" w14:textId="3509283E" w:rsidR="00041D07" w:rsidRDefault="008F6F8F" w:rsidP="00744822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</w:pPr>
      <w:r w:rsidRPr="003F614B">
        <w:rPr>
          <w:rFonts w:ascii="Arial" w:hAnsi="Arial" w:cs="Arial"/>
          <w:color w:val="323E4F" w:themeColor="text2" w:themeShade="BF"/>
          <w:sz w:val="28"/>
          <w:szCs w:val="28"/>
        </w:rPr>
        <w:t> </w:t>
      </w:r>
    </w:p>
    <w:p w14:paraId="1AB2AF6A" w14:textId="445B8CBC" w:rsidR="00EE791C" w:rsidRPr="00EE791C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B60312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I NUMERI ASSOLUTI DELLE MORTI SUL LAVORO IN </w:t>
      </w:r>
      <w:r w:rsidR="000A47BD" w:rsidRPr="00B60312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ITALIA </w:t>
      </w:r>
      <w:r w:rsidR="000A47BD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>NEL</w:t>
      </w:r>
      <w:r w:rsidR="00C13D7E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 PRIMO </w:t>
      </w:r>
      <w:r w:rsidR="00A415F1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>TRI</w:t>
      </w:r>
      <w:r w:rsidR="00EE791C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>MESTRE 2022</w:t>
      </w:r>
    </w:p>
    <w:p w14:paraId="0689D8D1" w14:textId="47CFFE43" w:rsidR="00085939" w:rsidRPr="002E3419" w:rsidRDefault="007725D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>C</w:t>
      </w:r>
      <w:r w:rsidR="00E97584">
        <w:rPr>
          <w:rFonts w:ascii="Arial" w:hAnsi="Arial" w:cs="Arial"/>
          <w:color w:val="323E4F" w:themeColor="text2" w:themeShade="BF"/>
          <w:sz w:val="28"/>
          <w:szCs w:val="28"/>
        </w:rPr>
        <w:t>ome spesso accade, valori</w:t>
      </w:r>
      <w:r w:rsidR="00501FC4" w:rsidRPr="00541C7E">
        <w:rPr>
          <w:rFonts w:ascii="Arial" w:hAnsi="Arial" w:cs="Arial"/>
          <w:color w:val="323E4F" w:themeColor="text2" w:themeShade="BF"/>
          <w:sz w:val="28"/>
          <w:szCs w:val="28"/>
        </w:rPr>
        <w:t xml:space="preserve"> assoluti e incidenze </w:t>
      </w:r>
      <w:r w:rsidR="00E97584">
        <w:rPr>
          <w:rFonts w:ascii="Arial" w:hAnsi="Arial" w:cs="Arial"/>
          <w:color w:val="323E4F" w:themeColor="text2" w:themeShade="BF"/>
          <w:sz w:val="28"/>
          <w:szCs w:val="28"/>
        </w:rPr>
        <w:t xml:space="preserve">portano </w:t>
      </w:r>
      <w:r w:rsidR="00501FC4" w:rsidRPr="00541C7E">
        <w:rPr>
          <w:rFonts w:ascii="Arial" w:hAnsi="Arial" w:cs="Arial"/>
          <w:color w:val="323E4F" w:themeColor="text2" w:themeShade="BF"/>
          <w:sz w:val="28"/>
          <w:szCs w:val="28"/>
        </w:rPr>
        <w:t xml:space="preserve">graduatorie differenti. </w:t>
      </w:r>
      <w:r w:rsidR="00E97584">
        <w:rPr>
          <w:rFonts w:ascii="Arial" w:hAnsi="Arial" w:cs="Arial"/>
          <w:color w:val="323E4F" w:themeColor="text2" w:themeShade="BF"/>
          <w:sz w:val="28"/>
          <w:szCs w:val="28"/>
        </w:rPr>
        <w:t>Così</w:t>
      </w:r>
      <w:r w:rsidR="002E0768" w:rsidRPr="00541C7E">
        <w:rPr>
          <w:rFonts w:ascii="Arial" w:hAnsi="Arial" w:cs="Arial"/>
          <w:color w:val="323E4F" w:themeColor="text2" w:themeShade="BF"/>
          <w:sz w:val="28"/>
          <w:szCs w:val="28"/>
        </w:rPr>
        <w:t xml:space="preserve"> a guidare la </w:t>
      </w:r>
      <w:r w:rsidR="00704BEC" w:rsidRPr="00541C7E">
        <w:rPr>
          <w:rFonts w:ascii="Arial" w:hAnsi="Arial" w:cs="Arial"/>
          <w:color w:val="323E4F" w:themeColor="text2" w:themeShade="BF"/>
          <w:sz w:val="28"/>
          <w:szCs w:val="28"/>
        </w:rPr>
        <w:t>classifica</w:t>
      </w:r>
      <w:r w:rsidR="002E0768" w:rsidRPr="00541C7E">
        <w:rPr>
          <w:rFonts w:ascii="Arial" w:hAnsi="Arial" w:cs="Arial"/>
          <w:color w:val="323E4F" w:themeColor="text2" w:themeShade="BF"/>
          <w:sz w:val="28"/>
          <w:szCs w:val="28"/>
        </w:rPr>
        <w:t xml:space="preserve"> del maggior numero di vittime in occasione di lavoro </w:t>
      </w:r>
      <w:r w:rsidR="002E0768" w:rsidRPr="00A66405">
        <w:rPr>
          <w:rFonts w:ascii="Arial" w:hAnsi="Arial" w:cs="Arial"/>
          <w:color w:val="323E4F" w:themeColor="text2" w:themeShade="BF"/>
          <w:sz w:val="28"/>
          <w:szCs w:val="28"/>
        </w:rPr>
        <w:t>è la</w:t>
      </w:r>
      <w:r w:rsidR="002E0768" w:rsidRPr="002E3419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Lombardia (</w:t>
      </w:r>
      <w:r w:rsidR="001E7507" w:rsidRPr="002E3419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2</w:t>
      </w:r>
      <w:r w:rsidR="000124AC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7</w:t>
      </w:r>
      <w:r w:rsidR="002E0768" w:rsidRPr="005610FE">
        <w:rPr>
          <w:rFonts w:ascii="Arial" w:hAnsi="Arial" w:cs="Arial"/>
          <w:b/>
          <w:color w:val="323E4F" w:themeColor="text2" w:themeShade="BF"/>
          <w:sz w:val="28"/>
          <w:szCs w:val="28"/>
        </w:rPr>
        <w:t>)</w:t>
      </w:r>
      <w:r w:rsidR="00085939" w:rsidRPr="002E3419">
        <w:rPr>
          <w:rFonts w:ascii="Arial" w:hAnsi="Arial" w:cs="Arial"/>
          <w:bCs/>
          <w:color w:val="323E4F" w:themeColor="text2" w:themeShade="BF"/>
          <w:sz w:val="28"/>
          <w:szCs w:val="28"/>
        </w:rPr>
        <w:t>, la regione con la maggior popolazione lavorativa in Italia.</w:t>
      </w:r>
      <w:r w:rsidR="002E0768" w:rsidRPr="002E341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54C21C79" w14:textId="40B98CC3" w:rsidR="00541C7E" w:rsidRPr="002E3419" w:rsidRDefault="002E0768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Seguono: 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Toscana (1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6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),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Veneto (13), 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Emil</w:t>
      </w:r>
      <w:r w:rsid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a Romagna 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e Lazio 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(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11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),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Puglia e Piemonte</w:t>
      </w:r>
      <w:r w:rsid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(9), </w:t>
      </w:r>
      <w:r w:rsidR="00541C7E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Sicilia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e 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Campania</w:t>
      </w:r>
      <w:r w:rsidR="00541C7E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(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8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), Marche</w:t>
      </w:r>
      <w:r w:rsid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e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Trentino Alto Adige</w:t>
      </w:r>
      <w:r w:rsidR="001E7507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(</w:t>
      </w:r>
      <w:r w:rsidR="000124AC" w:rsidRPr="005C70E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5</w:t>
      </w:r>
      <w:r w:rsidR="002E3419" w:rsidRPr="002E3419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1E7507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Piemonte</w:t>
      </w:r>
      <w:r w:rsidR="000124AC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, Calabria e Abruzzo</w:t>
      </w:r>
      <w:r w:rsidR="001E7507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(</w:t>
      </w:r>
      <w:r w:rsidR="000124AC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3</w:t>
      </w:r>
      <w:r w:rsidR="001E7507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),</w:t>
      </w:r>
      <w:r w:rsidR="000124AC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Umbria e Molise (2), Valle D’Aosta, </w:t>
      </w:r>
      <w:r w:rsidR="00F85CCE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Friuli</w:t>
      </w:r>
      <w:r w:rsidR="00541C7E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Venezia Giulia</w:t>
      </w:r>
      <w:r w:rsidR="000124AC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e</w:t>
      </w:r>
      <w:r w:rsidR="001E7507" w:rsidRPr="001C152F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Liguria (1).</w:t>
      </w:r>
    </w:p>
    <w:p w14:paraId="1A444F7E" w14:textId="10A3ED56" w:rsidR="006926DA" w:rsidRPr="003F614B" w:rsidRDefault="00040728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2E341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Nel report </w:t>
      </w:r>
      <w:r w:rsidR="006926DA" w:rsidRPr="002E341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allegato il numero delle morti in occasione di lavoro provincia per provincia.</w:t>
      </w:r>
    </w:p>
    <w:p w14:paraId="7AD2E7EF" w14:textId="4A32D9B3" w:rsidR="008F6F8F" w:rsidRPr="003F614B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391DAA9A" w14:textId="3444A0C0" w:rsidR="00ED7F75" w:rsidRDefault="00C13D7E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Da gennaio a </w:t>
      </w:r>
      <w:r w:rsidR="00B8723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marzo</w:t>
      </w:r>
      <w:r w:rsidR="00F7303A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202</w:t>
      </w:r>
      <w:r w:rsidR="00F7303A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2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sono </w:t>
      </w:r>
      <w:r w:rsidR="000A47BD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1</w:t>
      </w:r>
      <w:r w:rsidR="00B8723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89 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le vittime sul lavoro registrate in Italia; di queste</w:t>
      </w:r>
      <w:r w:rsidR="002E62F7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,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sono </w:t>
      </w:r>
      <w:r w:rsidR="00B8723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138</w:t>
      </w:r>
      <w:r w:rsidR="0067063A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quelle</w:t>
      </w:r>
      <w:r w:rsidR="00FC61F7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rilevat</w:t>
      </w:r>
      <w:r w:rsidR="00FC61F7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in occasione di lavoro</w:t>
      </w:r>
      <w:r w:rsidR="005670D7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(</w:t>
      </w:r>
      <w:r w:rsidR="00B8723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in diminuzione rispetto a marzo 2021 (-16 decessi)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, mentre </w:t>
      </w:r>
      <w:r w:rsidR="005670D7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sono </w:t>
      </w:r>
      <w:r w:rsidR="00600F61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51</w:t>
      </w:r>
      <w:r w:rsidR="00BA2A20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quell</w:t>
      </w:r>
      <w:r w:rsidR="00FC61F7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e decedute a causa di un incidente in 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itinere</w:t>
      </w:r>
      <w:r w:rsidR="00020CD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, contro 31 registrati nello stesso periodo dell’anno scorso</w:t>
      </w:r>
      <w:r w:rsidR="00776FB8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; un </w:t>
      </w:r>
      <w:r w:rsidR="00020CD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aumento</w:t>
      </w:r>
      <w:r w:rsidR="00E734E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,</w:t>
      </w:r>
      <w:r w:rsidR="00776FB8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quest’ultimo</w:t>
      </w:r>
      <w:r w:rsidR="00E734E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,</w:t>
      </w:r>
      <w:r w:rsidR="00776FB8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che è probabilmente la </w:t>
      </w:r>
      <w:r w:rsidR="00A1193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conseguenza della ripresa degli spostamenti per recarsi da casa a lavoro rispetto allo stesso periodo dell’anno scorso, in cui il COVID limitava ancora le attività produttive</w:t>
      </w:r>
      <w:r w:rsidR="008F6F8F" w:rsidRPr="000A47BD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  <w:r w:rsidR="008F6F8F" w:rsidRPr="0067063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</w:p>
    <w:p w14:paraId="0F0C86CE" w14:textId="77777777" w:rsidR="00085939" w:rsidRDefault="00085939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</w:p>
    <w:p w14:paraId="68A629D3" w14:textId="0B3E97E3" w:rsidR="00652466" w:rsidRPr="00D33355" w:rsidRDefault="00E734E3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lastRenderedPageBreak/>
        <w:t>I</w:t>
      </w:r>
      <w:r w:rsidR="00652466" w:rsidRPr="00D33355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l settore </w:t>
      </w:r>
      <w:r w:rsidR="009343AB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Trasporto e Magazzinaggio</w:t>
      </w:r>
      <w:r w:rsidR="00C13D7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cont</w:t>
      </w:r>
      <w:r w:rsidR="00020CD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a</w:t>
      </w:r>
      <w:r w:rsidR="00C13D7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il maggior numero di decessi </w:t>
      </w:r>
      <w:r w:rsidR="00652466" w:rsidRPr="00D33355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in occasione di lavoro: </w:t>
      </w:r>
      <w:r w:rsidR="00652466" w:rsidRPr="009343AB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sono </w:t>
      </w:r>
      <w:r w:rsidR="009D709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20</w:t>
      </w:r>
      <w:r w:rsidR="009343AB" w:rsidRPr="009343AB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(erano </w:t>
      </w:r>
      <w:r w:rsidR="009D709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7</w:t>
      </w:r>
      <w:r w:rsidR="009343AB" w:rsidRPr="009343AB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nel primo </w:t>
      </w:r>
      <w:r w:rsidR="009D709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trimestre</w:t>
      </w:r>
      <w:r w:rsidR="009343AB" w:rsidRPr="009343AB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del 2021</w:t>
      </w:r>
      <w:r w:rsidR="00652466" w:rsidRPr="009343AB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</w:p>
    <w:p w14:paraId="3B31632C" w14:textId="49893213" w:rsidR="008F6F8F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A637B2">
        <w:rPr>
          <w:rFonts w:ascii="Arial" w:hAnsi="Arial" w:cs="Arial"/>
          <w:color w:val="323E4F" w:themeColor="text2" w:themeShade="BF"/>
          <w:sz w:val="28"/>
          <w:szCs w:val="28"/>
        </w:rPr>
        <w:t xml:space="preserve">Seguono: </w:t>
      </w:r>
      <w:r w:rsidR="007959F7">
        <w:rPr>
          <w:rFonts w:ascii="Arial" w:hAnsi="Arial" w:cs="Arial"/>
          <w:color w:val="323E4F" w:themeColor="text2" w:themeShade="BF"/>
          <w:sz w:val="28"/>
          <w:szCs w:val="28"/>
        </w:rPr>
        <w:t>Costruzioni</w:t>
      </w:r>
      <w:r w:rsidRPr="00A637B2">
        <w:rPr>
          <w:rFonts w:ascii="Arial" w:hAnsi="Arial" w:cs="Arial"/>
          <w:color w:val="323E4F" w:themeColor="text2" w:themeShade="BF"/>
          <w:sz w:val="28"/>
          <w:szCs w:val="28"/>
        </w:rPr>
        <w:t xml:space="preserve"> (</w:t>
      </w:r>
      <w:r w:rsidR="00813FCB">
        <w:rPr>
          <w:rFonts w:ascii="Arial" w:hAnsi="Arial" w:cs="Arial"/>
          <w:color w:val="323E4F" w:themeColor="text2" w:themeShade="BF"/>
          <w:sz w:val="28"/>
          <w:szCs w:val="28"/>
        </w:rPr>
        <w:t>13</w:t>
      </w:r>
      <w:r w:rsidRPr="00A637B2">
        <w:rPr>
          <w:rFonts w:ascii="Arial" w:hAnsi="Arial" w:cs="Arial"/>
          <w:color w:val="323E4F" w:themeColor="text2" w:themeShade="BF"/>
          <w:sz w:val="28"/>
          <w:szCs w:val="28"/>
        </w:rPr>
        <w:t>),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 xml:space="preserve"> Commercio</w:t>
      </w:r>
      <w:r w:rsidR="00BD152B">
        <w:rPr>
          <w:rFonts w:ascii="Arial" w:hAnsi="Arial" w:cs="Arial"/>
          <w:color w:val="323E4F" w:themeColor="text2" w:themeShade="BF"/>
          <w:sz w:val="28"/>
          <w:szCs w:val="28"/>
        </w:rPr>
        <w:t>, r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>iparazione di autoveicoli e motocicli (</w:t>
      </w:r>
      <w:r w:rsidR="00240972">
        <w:rPr>
          <w:rFonts w:ascii="Arial" w:hAnsi="Arial" w:cs="Arial"/>
          <w:color w:val="323E4F" w:themeColor="text2" w:themeShade="BF"/>
          <w:sz w:val="28"/>
          <w:szCs w:val="28"/>
        </w:rPr>
        <w:t>10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67063A" w:rsidRPr="00A637B2">
        <w:rPr>
          <w:rFonts w:ascii="Arial" w:hAnsi="Arial" w:cs="Arial"/>
          <w:color w:val="323E4F" w:themeColor="text2" w:themeShade="BF"/>
          <w:sz w:val="28"/>
          <w:szCs w:val="28"/>
        </w:rPr>
        <w:t xml:space="preserve">Attività </w:t>
      </w:r>
      <w:r w:rsidR="00BD152B">
        <w:rPr>
          <w:rFonts w:ascii="Arial" w:hAnsi="Arial" w:cs="Arial"/>
          <w:color w:val="323E4F" w:themeColor="text2" w:themeShade="BF"/>
          <w:sz w:val="28"/>
          <w:szCs w:val="28"/>
        </w:rPr>
        <w:t>m</w:t>
      </w:r>
      <w:r w:rsidR="0067063A" w:rsidRPr="007959F7">
        <w:rPr>
          <w:rFonts w:ascii="Arial" w:hAnsi="Arial" w:cs="Arial"/>
          <w:color w:val="323E4F" w:themeColor="text2" w:themeShade="BF"/>
          <w:sz w:val="28"/>
          <w:szCs w:val="28"/>
        </w:rPr>
        <w:t>anifatturiere (</w:t>
      </w:r>
      <w:r w:rsidR="00240972">
        <w:rPr>
          <w:rFonts w:ascii="Arial" w:hAnsi="Arial" w:cs="Arial"/>
          <w:color w:val="323E4F" w:themeColor="text2" w:themeShade="BF"/>
          <w:sz w:val="28"/>
          <w:szCs w:val="28"/>
        </w:rPr>
        <w:t>7</w:t>
      </w:r>
      <w:r w:rsidR="0067063A" w:rsidRPr="007959F7">
        <w:rPr>
          <w:rFonts w:ascii="Arial" w:hAnsi="Arial" w:cs="Arial"/>
          <w:color w:val="323E4F" w:themeColor="text2" w:themeShade="BF"/>
          <w:sz w:val="28"/>
          <w:szCs w:val="28"/>
        </w:rPr>
        <w:t>),</w:t>
      </w:r>
      <w:r w:rsidR="0067063A" w:rsidRPr="00A637B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 xml:space="preserve">il 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 xml:space="preserve">Noleggio, 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a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 xml:space="preserve">genzie di viaggio, 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s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>ervizi di supporto alle imprese</w:t>
      </w:r>
      <w:r w:rsidR="007959F7">
        <w:rPr>
          <w:rFonts w:ascii="Arial" w:hAnsi="Arial" w:cs="Arial"/>
          <w:color w:val="323E4F" w:themeColor="text2" w:themeShade="BF"/>
          <w:sz w:val="28"/>
          <w:szCs w:val="28"/>
        </w:rPr>
        <w:t xml:space="preserve"> e Sanità e assistenza </w:t>
      </w:r>
      <w:r w:rsidR="00847C3D">
        <w:rPr>
          <w:rFonts w:ascii="Arial" w:hAnsi="Arial" w:cs="Arial"/>
          <w:color w:val="323E4F" w:themeColor="text2" w:themeShade="BF"/>
          <w:sz w:val="28"/>
          <w:szCs w:val="28"/>
        </w:rPr>
        <w:t>sociale</w:t>
      </w:r>
      <w:r w:rsidR="00847C3D" w:rsidRPr="007959F7">
        <w:rPr>
          <w:rFonts w:ascii="Arial" w:hAnsi="Arial" w:cs="Arial"/>
          <w:color w:val="323E4F" w:themeColor="text2" w:themeShade="BF"/>
          <w:sz w:val="28"/>
          <w:szCs w:val="28"/>
        </w:rPr>
        <w:t xml:space="preserve"> (</w:t>
      </w:r>
      <w:r w:rsidR="00240972">
        <w:rPr>
          <w:rFonts w:ascii="Arial" w:hAnsi="Arial" w:cs="Arial"/>
          <w:color w:val="323E4F" w:themeColor="text2" w:themeShade="BF"/>
          <w:sz w:val="28"/>
          <w:szCs w:val="28"/>
        </w:rPr>
        <w:t>4</w:t>
      </w:r>
      <w:r w:rsidR="007959F7" w:rsidRPr="007959F7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BD152B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5F9D1F23" w14:textId="77777777" w:rsidR="00B60312" w:rsidRPr="003F614B" w:rsidRDefault="00B60312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0B6DF05" w14:textId="5D46F5BF" w:rsidR="00192497" w:rsidRPr="003F614B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La fascia d’età più colpita dagli infortuni mortali sul lavoro è 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sempre </w:t>
      </w:r>
      <w:r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quella tra i </w:t>
      </w:r>
      <w:r w:rsidR="005B2C74" w:rsidRPr="00E251D4">
        <w:rPr>
          <w:rFonts w:ascii="Arial" w:hAnsi="Arial" w:cs="Arial"/>
          <w:color w:val="323E4F" w:themeColor="text2" w:themeShade="BF"/>
          <w:sz w:val="28"/>
          <w:szCs w:val="28"/>
        </w:rPr>
        <w:t>55</w:t>
      </w:r>
      <w:r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e i 64 anni (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>52</w:t>
      </w:r>
      <w:r w:rsidR="009C1AF9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su un totale di 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>138</w:t>
      </w:r>
      <w:r w:rsidR="00830895" w:rsidRPr="00E251D4">
        <w:rPr>
          <w:rFonts w:ascii="Arial" w:hAnsi="Arial" w:cs="Arial"/>
          <w:color w:val="323E4F" w:themeColor="text2" w:themeShade="BF"/>
          <w:sz w:val="28"/>
          <w:szCs w:val="28"/>
        </w:rPr>
        <w:t>).</w:t>
      </w:r>
      <w:r w:rsidR="00B60312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5B2C74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Ed è proprio in questa fascia d’età che si rileva anche 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uno degli </w:t>
      </w:r>
      <w:r w:rsidR="005B2C74" w:rsidRPr="00E251D4">
        <w:rPr>
          <w:rFonts w:ascii="Arial" w:hAnsi="Arial" w:cs="Arial"/>
          <w:color w:val="323E4F" w:themeColor="text2" w:themeShade="BF"/>
          <w:sz w:val="28"/>
          <w:szCs w:val="28"/>
        </w:rPr>
        <w:t>indic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="005B2C74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di incidenza più alto di mortalità rispetto agli occupati (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>11,3</w:t>
      </w:r>
      <w:r w:rsidR="005B2C74" w:rsidRPr="00E251D4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insieme a quella degli over 65 (11,7)</w:t>
      </w:r>
      <w:r w:rsidR="005B2C74" w:rsidRPr="00E251D4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1438AC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L’incidenza di mortalità minima è</w:t>
      </w:r>
      <w:r w:rsidR="002F3DCC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invece</w:t>
      </w:r>
      <w:r w:rsidR="001438AC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nella fascia di età tra 25 e 34 anni, </w:t>
      </w:r>
      <w:r w:rsidR="002F3DCC" w:rsidRPr="00E251D4">
        <w:rPr>
          <w:rFonts w:ascii="Arial" w:hAnsi="Arial" w:cs="Arial"/>
          <w:color w:val="323E4F" w:themeColor="text2" w:themeShade="BF"/>
          <w:sz w:val="28"/>
          <w:szCs w:val="28"/>
        </w:rPr>
        <w:t>(</w:t>
      </w:r>
      <w:r w:rsidR="001438AC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pari a 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>2,6</w:t>
      </w:r>
      <w:r w:rsidR="002F3DCC" w:rsidRPr="00E251D4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1438AC" w:rsidRPr="00E251D4">
        <w:rPr>
          <w:rFonts w:ascii="Arial" w:hAnsi="Arial" w:cs="Arial"/>
          <w:color w:val="323E4F" w:themeColor="text2" w:themeShade="BF"/>
          <w:sz w:val="28"/>
          <w:szCs w:val="28"/>
        </w:rPr>
        <w:t>, mentre nella fascia dei più giovani, ossia tra 15 e 24 anni, l’incidenza risale a</w:t>
      </w:r>
      <w:r w:rsidR="00F61663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251D4" w:rsidRPr="00E251D4">
        <w:rPr>
          <w:rFonts w:ascii="Arial" w:hAnsi="Arial" w:cs="Arial"/>
          <w:color w:val="323E4F" w:themeColor="text2" w:themeShade="BF"/>
          <w:sz w:val="28"/>
          <w:szCs w:val="28"/>
        </w:rPr>
        <w:t>7,1</w:t>
      </w:r>
      <w:r w:rsidR="00F61663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1438AC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infortuni mortali ogni milione di occupati. </w:t>
      </w:r>
    </w:p>
    <w:p w14:paraId="20CEF91A" w14:textId="00D1774E" w:rsidR="008F6F8F" w:rsidRPr="003F614B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Le donne che hanno perso la vita in occasione di lavoro </w:t>
      </w:r>
      <w:r w:rsidR="00BC4400">
        <w:rPr>
          <w:rFonts w:ascii="Arial" w:hAnsi="Arial" w:cs="Arial"/>
          <w:color w:val="323E4F" w:themeColor="text2" w:themeShade="BF"/>
          <w:sz w:val="28"/>
          <w:szCs w:val="28"/>
        </w:rPr>
        <w:t xml:space="preserve">nel primo </w:t>
      </w:r>
      <w:r w:rsidR="00F860FB">
        <w:rPr>
          <w:rFonts w:ascii="Arial" w:hAnsi="Arial" w:cs="Arial"/>
          <w:color w:val="323E4F" w:themeColor="text2" w:themeShade="BF"/>
          <w:sz w:val="28"/>
          <w:szCs w:val="28"/>
        </w:rPr>
        <w:t>trimestre</w:t>
      </w:r>
      <w:r w:rsidR="00BC4400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F7303A">
        <w:rPr>
          <w:rFonts w:ascii="Arial" w:hAnsi="Arial" w:cs="Arial"/>
          <w:color w:val="323E4F" w:themeColor="text2" w:themeShade="BF"/>
          <w:sz w:val="28"/>
          <w:szCs w:val="28"/>
        </w:rPr>
        <w:t>2022</w:t>
      </w:r>
      <w:r w:rsidR="00652466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sono </w:t>
      </w:r>
      <w:r w:rsidR="00F860FB">
        <w:rPr>
          <w:rFonts w:ascii="Arial" w:hAnsi="Arial" w:cs="Arial"/>
          <w:color w:val="323E4F" w:themeColor="text2" w:themeShade="BF"/>
          <w:sz w:val="28"/>
          <w:szCs w:val="28"/>
        </w:rPr>
        <w:t>13</w:t>
      </w:r>
      <w:r w:rsidR="00726E60" w:rsidRPr="00847C3D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847C3D">
        <w:rPr>
          <w:rFonts w:ascii="Arial" w:hAnsi="Arial" w:cs="Arial"/>
          <w:color w:val="323E4F" w:themeColor="text2" w:themeShade="BF"/>
          <w:sz w:val="28"/>
          <w:szCs w:val="28"/>
        </w:rPr>
        <w:t>su</w:t>
      </w:r>
      <w:r w:rsidR="00CD61CD" w:rsidRPr="00847C3D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F860FB">
        <w:rPr>
          <w:rFonts w:ascii="Arial" w:hAnsi="Arial" w:cs="Arial"/>
          <w:color w:val="323E4F" w:themeColor="text2" w:themeShade="BF"/>
          <w:sz w:val="28"/>
          <w:szCs w:val="28"/>
        </w:rPr>
        <w:t>138</w:t>
      </w:r>
      <w:r w:rsidR="00726E60">
        <w:rPr>
          <w:rFonts w:ascii="Arial" w:hAnsi="Arial" w:cs="Arial"/>
          <w:color w:val="323E4F" w:themeColor="text2" w:themeShade="BF"/>
          <w:sz w:val="28"/>
          <w:szCs w:val="28"/>
        </w:rPr>
        <w:t xml:space="preserve">. In </w:t>
      </w:r>
      <w:r w:rsidR="00F860FB">
        <w:rPr>
          <w:rFonts w:ascii="Arial" w:hAnsi="Arial" w:cs="Arial"/>
          <w:color w:val="323E4F" w:themeColor="text2" w:themeShade="BF"/>
          <w:sz w:val="28"/>
          <w:szCs w:val="28"/>
        </w:rPr>
        <w:t>11</w:t>
      </w:r>
      <w:r w:rsidR="00726E60">
        <w:rPr>
          <w:rFonts w:ascii="Arial" w:hAnsi="Arial" w:cs="Arial"/>
          <w:color w:val="323E4F" w:themeColor="text2" w:themeShade="BF"/>
          <w:sz w:val="28"/>
          <w:szCs w:val="28"/>
        </w:rPr>
        <w:t xml:space="preserve"> invece hanno perso la vita in itinere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, cioè nel perco</w:t>
      </w:r>
      <w:r w:rsidR="00C77902">
        <w:rPr>
          <w:rFonts w:ascii="Arial" w:hAnsi="Arial" w:cs="Arial"/>
          <w:color w:val="323E4F" w:themeColor="text2" w:themeShade="BF"/>
          <w:sz w:val="28"/>
          <w:szCs w:val="28"/>
        </w:rPr>
        <w:t>r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so casa-lavoro</w:t>
      </w:r>
      <w:r w:rsidR="00726E60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3F372633" w14:textId="34C8F4B2" w:rsidR="008F6F8F" w:rsidRPr="003F614B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Gli stranieri deceduti in occasione di lavoro </w:t>
      </w:r>
      <w:r w:rsidRPr="00847C3D">
        <w:rPr>
          <w:rFonts w:ascii="Arial" w:hAnsi="Arial" w:cs="Arial"/>
          <w:color w:val="323E4F" w:themeColor="text2" w:themeShade="BF"/>
          <w:sz w:val="28"/>
          <w:szCs w:val="28"/>
        </w:rPr>
        <w:t xml:space="preserve">sono </w:t>
      </w:r>
      <w:r w:rsidR="00EF3977">
        <w:rPr>
          <w:rFonts w:ascii="Arial" w:hAnsi="Arial" w:cs="Arial"/>
          <w:color w:val="323E4F" w:themeColor="text2" w:themeShade="BF"/>
          <w:sz w:val="28"/>
          <w:szCs w:val="28"/>
        </w:rPr>
        <w:t>17</w:t>
      </w:r>
      <w:r w:rsidR="00690862" w:rsidRPr="00847C3D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41C13E81" w14:textId="3DED469A" w:rsidR="008F6F8F" w:rsidRDefault="00142DD2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F90DBE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="004F7B77" w:rsidRPr="00F90DBE">
        <w:rPr>
          <w:rFonts w:ascii="Arial" w:hAnsi="Arial" w:cs="Arial"/>
          <w:color w:val="323E4F" w:themeColor="text2" w:themeShade="BF"/>
          <w:sz w:val="28"/>
          <w:szCs w:val="28"/>
        </w:rPr>
        <w:t>l martedì</w:t>
      </w:r>
      <w:r w:rsidR="008F6F8F" w:rsidRPr="00F90DBE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A1193E" w:rsidRPr="00F90DBE">
        <w:rPr>
          <w:rFonts w:ascii="Arial" w:hAnsi="Arial" w:cs="Arial"/>
          <w:color w:val="323E4F" w:themeColor="text2" w:themeShade="BF"/>
          <w:sz w:val="28"/>
          <w:szCs w:val="28"/>
        </w:rPr>
        <w:t xml:space="preserve">è </w:t>
      </w:r>
      <w:r w:rsidR="004F7B77" w:rsidRPr="00F90DBE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Pr="00F90DBE">
        <w:rPr>
          <w:rFonts w:ascii="Arial" w:hAnsi="Arial" w:cs="Arial"/>
          <w:color w:val="323E4F" w:themeColor="text2" w:themeShade="BF"/>
          <w:sz w:val="28"/>
          <w:szCs w:val="28"/>
        </w:rPr>
        <w:t>l</w:t>
      </w:r>
      <w:r w:rsidR="004F7B77" w:rsidRPr="00F90DBE">
        <w:rPr>
          <w:rFonts w:ascii="Arial" w:hAnsi="Arial" w:cs="Arial"/>
          <w:color w:val="323E4F" w:themeColor="text2" w:themeShade="BF"/>
          <w:sz w:val="28"/>
          <w:szCs w:val="28"/>
        </w:rPr>
        <w:t xml:space="preserve"> giorn</w:t>
      </w:r>
      <w:r w:rsidRPr="00F90DBE">
        <w:rPr>
          <w:rFonts w:ascii="Arial" w:hAnsi="Arial" w:cs="Arial"/>
          <w:color w:val="323E4F" w:themeColor="text2" w:themeShade="BF"/>
          <w:sz w:val="28"/>
          <w:szCs w:val="28"/>
        </w:rPr>
        <w:t>o</w:t>
      </w:r>
      <w:r w:rsidR="0025005F" w:rsidRPr="00F90DBE">
        <w:rPr>
          <w:rFonts w:ascii="Arial" w:hAnsi="Arial" w:cs="Arial"/>
          <w:color w:val="323E4F" w:themeColor="text2" w:themeShade="BF"/>
          <w:sz w:val="28"/>
          <w:szCs w:val="28"/>
        </w:rPr>
        <w:t xml:space="preserve"> della settimana </w:t>
      </w:r>
      <w:r w:rsidR="008F6F8F" w:rsidRPr="00F90DBE">
        <w:rPr>
          <w:rFonts w:ascii="Arial" w:hAnsi="Arial" w:cs="Arial"/>
          <w:color w:val="323E4F" w:themeColor="text2" w:themeShade="BF"/>
          <w:sz w:val="28"/>
          <w:szCs w:val="28"/>
        </w:rPr>
        <w:t>in cui si è verificato il maggior numero di infortuni</w:t>
      </w:r>
      <w:r w:rsidR="00552005" w:rsidRPr="00F90DBE">
        <w:rPr>
          <w:rFonts w:ascii="Arial" w:hAnsi="Arial" w:cs="Arial"/>
          <w:color w:val="323E4F" w:themeColor="text2" w:themeShade="BF"/>
          <w:sz w:val="28"/>
          <w:szCs w:val="28"/>
        </w:rPr>
        <w:t xml:space="preserve"> mortali</w:t>
      </w:r>
      <w:r w:rsidR="008F6F8F" w:rsidRPr="00F90DBE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4720FD44" w14:textId="57A10214" w:rsidR="00EC4C7F" w:rsidRDefault="00EC4C7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124A506" w14:textId="2306200F" w:rsidR="007522E4" w:rsidRPr="00020CDA" w:rsidRDefault="00552005" w:rsidP="00552005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bookmarkStart w:id="9" w:name="_Hlk96933844"/>
      <w:r w:rsidRPr="00552005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Le denunce di infortunio totali sono</w:t>
      </w:r>
      <w:r w:rsidR="002C736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2C7369" w:rsidRPr="00B651F0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in</w:t>
      </w:r>
      <w:r w:rsidR="00F7303A" w:rsidRPr="00B651F0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Pr="00B651F0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aumento (+</w:t>
      </w:r>
      <w:r w:rsidR="006506AA" w:rsidRPr="00B651F0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7A5DF2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51</w:t>
      </w:r>
      <w:r w:rsidR="006506AA" w:rsidRPr="00B651F0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%</w:t>
      </w:r>
      <w:r w:rsidR="007A5DF2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rispetto a marzo 2021</w:t>
      </w:r>
      <w:r w:rsidRPr="00B651F0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).</w:t>
      </w:r>
      <w:bookmarkEnd w:id="9"/>
      <w:r w:rsidRPr="002C04D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F7303A" w:rsidRPr="002C04D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A </w:t>
      </w:r>
      <w:r w:rsidR="007A5DF2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marzo</w:t>
      </w:r>
      <w:r w:rsidR="00F7303A" w:rsidRPr="002C04D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2021 eran</w:t>
      </w:r>
      <w:r w:rsidR="005744DE" w:rsidRPr="002C04D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o </w:t>
      </w:r>
      <w:r w:rsidR="007A5DF2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128.671</w:t>
      </w:r>
      <w:r w:rsidR="005744DE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A1193E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mentre</w:t>
      </w:r>
      <w:r w:rsidR="00F7303A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a </w:t>
      </w:r>
      <w:r w:rsidR="007A5DF2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marzo</w:t>
      </w:r>
      <w:r w:rsidR="00F7303A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2022 </w:t>
      </w:r>
      <w:r w:rsidR="005744DE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sono </w:t>
      </w:r>
      <w:r w:rsidR="007A5DF2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194.106. </w:t>
      </w:r>
      <w:r w:rsidR="00F74A6C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Quasi 30 mila gli infortuni occorsi in occasione di lavoro </w:t>
      </w:r>
      <w:r w:rsidR="006506AA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nel settore Sanità e Assistenza Sociale. </w:t>
      </w:r>
    </w:p>
    <w:p w14:paraId="04152BB9" w14:textId="05F29D33" w:rsidR="007F7C3F" w:rsidRPr="009E2D2B" w:rsidRDefault="009E2D2B" w:rsidP="00552005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Ancora</w:t>
      </w:r>
      <w:r w:rsidR="007F7C3F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significativa la variazione delle denunce di infortunio </w:t>
      </w:r>
      <w:r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in occasione di lavoro </w:t>
      </w:r>
      <w:r w:rsidR="007F7C3F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nel Settore Trasporto e Magazzinaggio: sono </w:t>
      </w:r>
      <w:r w:rsidR="00616F45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16.485</w:t>
      </w:r>
      <w:r w:rsidR="007F7C3F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a fine </w:t>
      </w:r>
      <w:r w:rsidR="00616F45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marzo</w:t>
      </w:r>
      <w:r w:rsidR="007F7C3F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2022, ma erano </w:t>
      </w:r>
      <w:r w:rsidR="00616F45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6.176</w:t>
      </w:r>
      <w:r w:rsidR="00301234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7F7C3F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a fine </w:t>
      </w:r>
      <w:r w:rsidR="00616F45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marzo</w:t>
      </w:r>
      <w:r w:rsidR="007F7C3F" w:rsidRPr="00020CDA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2021</w:t>
      </w:r>
      <w:r w:rsidR="00616F45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.</w:t>
      </w:r>
    </w:p>
    <w:p w14:paraId="56D99414" w14:textId="65FF425E" w:rsidR="00EC4C7F" w:rsidRDefault="007522E4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Le denunce di infortunio delle lavoratrici italiane </w:t>
      </w:r>
      <w:r w:rsidR="009E2D2B"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nei primi </w:t>
      </w:r>
      <w:r w:rsidR="00616F45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tre mesi</w:t>
      </w:r>
      <w:r w:rsidR="009E2D2B"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del 2022</w:t>
      </w:r>
      <w:r w:rsidR="00C9180B"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sono </w:t>
      </w:r>
      <w:r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state</w:t>
      </w:r>
      <w:r w:rsidRPr="00FB6CA7">
        <w:t xml:space="preserve"> </w:t>
      </w:r>
      <w:r w:rsidR="00616F45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89.130</w:t>
      </w:r>
      <w:r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, quelle </w:t>
      </w:r>
      <w:r w:rsidR="000A3D2C"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dei colleghi</w:t>
      </w:r>
      <w:r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uomini </w:t>
      </w:r>
      <w:r w:rsidR="00616F45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104.976</w:t>
      </w:r>
      <w:r w:rsidR="00EE1240" w:rsidRPr="00FB6CA7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.</w:t>
      </w:r>
    </w:p>
    <w:p w14:paraId="7A6A9998" w14:textId="66935D05" w:rsidR="00085939" w:rsidRDefault="00085939" w:rsidP="009872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6C2E45F" w14:textId="3DBFEEC6" w:rsidR="00A1193E" w:rsidRPr="00826F3E" w:rsidRDefault="00A1193E" w:rsidP="00A1193E">
      <w:pPr>
        <w:shd w:val="clear" w:color="auto" w:fill="FFFFFF"/>
        <w:spacing w:after="100" w:afterAutospacing="1"/>
        <w:rPr>
          <w:rFonts w:ascii="Roboto" w:hAnsi="Roboto"/>
          <w:color w:val="FF0000"/>
          <w:sz w:val="24"/>
          <w:szCs w:val="24"/>
        </w:rPr>
      </w:pPr>
      <w:r w:rsidRPr="00826F3E">
        <w:rPr>
          <w:rFonts w:ascii="Roboto" w:hAnsi="Roboto"/>
          <w:b/>
          <w:bCs/>
          <w:color w:val="FF0000"/>
          <w:sz w:val="24"/>
          <w:szCs w:val="24"/>
        </w:rPr>
        <w:t>LA ZONIZZAZIONE A COLORI È LA NUOVA RAPPRESENTAZIONE GRAFICA ELABORATA DALL’OSSERVATORIO SICUREZZA SUL LAVORO </w:t>
      </w:r>
      <w:hyperlink r:id="rId12" w:history="1">
        <w:r w:rsidRPr="00826F3E">
          <w:rPr>
            <w:rFonts w:ascii="Roboto" w:hAnsi="Roboto"/>
            <w:b/>
            <w:bCs/>
            <w:color w:val="FF0000"/>
            <w:sz w:val="24"/>
            <w:szCs w:val="24"/>
            <w:u w:val="single"/>
          </w:rPr>
          <w:t>VEGA ENGINEERING</w:t>
        </w:r>
      </w:hyperlink>
      <w:r w:rsidRPr="00826F3E">
        <w:rPr>
          <w:rFonts w:ascii="Roboto" w:hAnsi="Roboto"/>
          <w:b/>
          <w:bCs/>
          <w:color w:val="FF0000"/>
          <w:sz w:val="24"/>
          <w:szCs w:val="24"/>
        </w:rPr>
        <w:t> DI MESTRE, PER FOTOGRAFARE, IL LIVELLO DI SICUREZZA DEI LAVORATORI.</w:t>
      </w:r>
    </w:p>
    <w:p w14:paraId="696A5027" w14:textId="0737E8BE" w:rsidR="007F2488" w:rsidRPr="00A1193E" w:rsidRDefault="00A1193E" w:rsidP="007F2488">
      <w:pPr>
        <w:shd w:val="clear" w:color="auto" w:fill="FFFFFF"/>
        <w:textAlignment w:val="top"/>
        <w:rPr>
          <w:rFonts w:ascii="Arial" w:hAnsi="Arial" w:cs="Arial"/>
          <w:color w:val="FF0000"/>
        </w:rPr>
      </w:pPr>
      <w:bookmarkStart w:id="10" w:name="_GoBack"/>
      <w:bookmarkEnd w:id="10"/>
      <w:r w:rsidRPr="00A1193E">
        <w:rPr>
          <w:rFonts w:ascii="Arial" w:hAnsi="Arial" w:cs="Arial"/>
          <w:color w:val="FF0000"/>
        </w:rPr>
        <w:t>L’incidenza degli infortuni mortali indica il numero di lavoratori deceduti durante l’attività lavorativa in una data area (regione o provincia) ogni milione di occupati presenti nella stessa.</w:t>
      </w:r>
      <w:r>
        <w:rPr>
          <w:rFonts w:ascii="Arial" w:hAnsi="Arial" w:cs="Arial"/>
          <w:color w:val="FF0000"/>
        </w:rPr>
        <w:t xml:space="preserve"> </w:t>
      </w:r>
      <w:r w:rsidR="007F2488" w:rsidRPr="00A1193E">
        <w:rPr>
          <w:rFonts w:ascii="Arial" w:hAnsi="Arial" w:cs="Arial"/>
          <w:color w:val="FF0000"/>
        </w:rPr>
        <w:t>Questo indice consente di confrontare il fenomeno infortunistico tra le diverse regioni, pur caratterizzate da una popolazione lavorativa differente.</w:t>
      </w:r>
    </w:p>
    <w:p w14:paraId="2E91E1EE" w14:textId="77777777" w:rsidR="007F2488" w:rsidRPr="00A1193E" w:rsidRDefault="007F2488" w:rsidP="007F2488">
      <w:p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La zonizzazione utilizzata dall’Osservatorio Sicurezza Vega dipinge il rischio infortunistico nelle regioni italiane secondo la seguente scala di colori:</w:t>
      </w:r>
    </w:p>
    <w:p w14:paraId="2D95214F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Bianco: regioni con un’incidenza infortunistica inferiore al 75% dell’incidenza media nazionale</w:t>
      </w:r>
    </w:p>
    <w:p w14:paraId="4D2B8FDE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lastRenderedPageBreak/>
        <w:t>Giallo: regioni con un’incidenza infortunistica compresa tra il 75% dell’incidenza media nazionale ed il valore medio nazionale</w:t>
      </w:r>
    </w:p>
    <w:p w14:paraId="1B3B0C05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Arancione: regioni con un’incidenza infortunistica compresa tra il valore medio nazionale ed il 125% dell’incidenza media nazionale</w:t>
      </w:r>
    </w:p>
    <w:p w14:paraId="4348E386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Rosso: regioni con un’incidenza infortunistica superiore al 125% dell’incidenza media nazionale</w:t>
      </w:r>
    </w:p>
    <w:p w14:paraId="5E4D5F00" w14:textId="77777777" w:rsidR="007F2488" w:rsidRDefault="007F2488" w:rsidP="007F2488">
      <w:pPr>
        <w:shd w:val="clear" w:color="auto" w:fill="FFFFFF"/>
        <w:textAlignment w:val="top"/>
        <w:rPr>
          <w:rFonts w:ascii="Arial" w:hAnsi="Arial" w:cs="Arial"/>
          <w:color w:val="005281"/>
        </w:rPr>
      </w:pPr>
    </w:p>
    <w:p w14:paraId="153EE083" w14:textId="6EF4E37A" w:rsidR="00407D88" w:rsidRPr="004C3EDB" w:rsidRDefault="00407D88" w:rsidP="009872C6">
      <w:pPr>
        <w:rPr>
          <w:rFonts w:ascii="Arial" w:hAnsi="Arial" w:cs="Arial"/>
          <w:color w:val="3B3838" w:themeColor="background2" w:themeShade="40"/>
          <w:sz w:val="28"/>
          <w:szCs w:val="28"/>
        </w:rPr>
      </w:pPr>
    </w:p>
    <w:sectPr w:rsidR="00407D88" w:rsidRPr="004C3EDB" w:rsidSect="00F12D61">
      <w:headerReference w:type="default" r:id="rId13"/>
      <w:footerReference w:type="even" r:id="rId14"/>
      <w:footerReference w:type="default" r:id="rId15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C102" w14:textId="77777777" w:rsidR="00707296" w:rsidRDefault="00707296">
      <w:r>
        <w:separator/>
      </w:r>
    </w:p>
  </w:endnote>
  <w:endnote w:type="continuationSeparator" w:id="0">
    <w:p w14:paraId="3B0EB08A" w14:textId="77777777" w:rsidR="00707296" w:rsidRDefault="0070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E5E6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6098B03" w14:textId="77777777" w:rsidR="001A208F" w:rsidRDefault="007072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D058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2F4F8AD3" w14:textId="77777777" w:rsidR="001A208F" w:rsidRDefault="00707296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198D85BD" w14:textId="20357F1C" w:rsidR="001A208F" w:rsidRDefault="00584311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Tosatto n. </w:t>
    </w:r>
    <w:r w:rsidR="00E25672">
      <w:rPr>
        <w:rFonts w:ascii="Garamond" w:hAnsi="Garamond"/>
      </w:rPr>
      <w:t>151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65506944" w14:textId="77777777" w:rsidR="001A208F" w:rsidRPr="00D33685" w:rsidRDefault="00584311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58E34C17" w14:textId="77777777" w:rsidR="001A208F" w:rsidRPr="00D33685" w:rsidRDefault="00707296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584311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E9C9" w14:textId="77777777" w:rsidR="00707296" w:rsidRDefault="00707296">
      <w:r>
        <w:separator/>
      </w:r>
    </w:p>
  </w:footnote>
  <w:footnote w:type="continuationSeparator" w:id="0">
    <w:p w14:paraId="1DF6458D" w14:textId="77777777" w:rsidR="00707296" w:rsidRDefault="0070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1A208F" w14:paraId="223F7AD4" w14:textId="77777777" w:rsidTr="00F12D61">
      <w:tc>
        <w:tcPr>
          <w:tcW w:w="4918" w:type="dxa"/>
        </w:tcPr>
        <w:p w14:paraId="2ADAF963" w14:textId="77777777" w:rsidR="001A208F" w:rsidRPr="00974BDC" w:rsidRDefault="00584311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28CF185B" wp14:editId="2BE61E92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918" w:type="dxa"/>
        </w:tcPr>
        <w:p w14:paraId="2D9E0556" w14:textId="77777777" w:rsidR="001A208F" w:rsidRPr="00CE1998" w:rsidRDefault="00584311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2F93C4" wp14:editId="5A44A00A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3D786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7D801FD8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37529E86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362F93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14:paraId="7A53D786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7D801FD8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37529E86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</w:p>
      </w:tc>
    </w:tr>
  </w:tbl>
  <w:p w14:paraId="7857CE89" w14:textId="77777777" w:rsidR="001A208F" w:rsidRPr="00ED6AB2" w:rsidRDefault="00707296" w:rsidP="00F1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87B"/>
    <w:multiLevelType w:val="hybridMultilevel"/>
    <w:tmpl w:val="5F7471E4"/>
    <w:lvl w:ilvl="0" w:tplc="C526EE5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BFB"/>
    <w:multiLevelType w:val="hybridMultilevel"/>
    <w:tmpl w:val="032869E8"/>
    <w:lvl w:ilvl="0" w:tplc="DD1CF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705"/>
    <w:multiLevelType w:val="hybridMultilevel"/>
    <w:tmpl w:val="20F4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D8"/>
    <w:rsid w:val="000008A3"/>
    <w:rsid w:val="00003763"/>
    <w:rsid w:val="00006997"/>
    <w:rsid w:val="0000759E"/>
    <w:rsid w:val="00012154"/>
    <w:rsid w:val="000124AC"/>
    <w:rsid w:val="00017C9F"/>
    <w:rsid w:val="00020928"/>
    <w:rsid w:val="00020CDA"/>
    <w:rsid w:val="00023371"/>
    <w:rsid w:val="000233B3"/>
    <w:rsid w:val="0002370D"/>
    <w:rsid w:val="00031875"/>
    <w:rsid w:val="00032D70"/>
    <w:rsid w:val="00032D89"/>
    <w:rsid w:val="000334AE"/>
    <w:rsid w:val="000351A0"/>
    <w:rsid w:val="00040728"/>
    <w:rsid w:val="00041D07"/>
    <w:rsid w:val="00042BD3"/>
    <w:rsid w:val="000472DE"/>
    <w:rsid w:val="00052ECD"/>
    <w:rsid w:val="00056D80"/>
    <w:rsid w:val="000633F1"/>
    <w:rsid w:val="00064072"/>
    <w:rsid w:val="000729E8"/>
    <w:rsid w:val="00076A89"/>
    <w:rsid w:val="00081CD8"/>
    <w:rsid w:val="0008433A"/>
    <w:rsid w:val="00085939"/>
    <w:rsid w:val="00086EE9"/>
    <w:rsid w:val="00094B2B"/>
    <w:rsid w:val="00094DCF"/>
    <w:rsid w:val="000A3D2C"/>
    <w:rsid w:val="000A47BD"/>
    <w:rsid w:val="000A58D6"/>
    <w:rsid w:val="000B1F35"/>
    <w:rsid w:val="000B71F2"/>
    <w:rsid w:val="000C0923"/>
    <w:rsid w:val="000C6866"/>
    <w:rsid w:val="000D0756"/>
    <w:rsid w:val="000D0F08"/>
    <w:rsid w:val="000D21AF"/>
    <w:rsid w:val="000D259A"/>
    <w:rsid w:val="000E25A8"/>
    <w:rsid w:val="000E2FEF"/>
    <w:rsid w:val="000E5C27"/>
    <w:rsid w:val="000F06C7"/>
    <w:rsid w:val="000F34F3"/>
    <w:rsid w:val="000F7B7B"/>
    <w:rsid w:val="0010366E"/>
    <w:rsid w:val="00103809"/>
    <w:rsid w:val="0011612E"/>
    <w:rsid w:val="00116EFA"/>
    <w:rsid w:val="00117F7D"/>
    <w:rsid w:val="00122ED5"/>
    <w:rsid w:val="0012598B"/>
    <w:rsid w:val="00125ACF"/>
    <w:rsid w:val="0013210D"/>
    <w:rsid w:val="00135651"/>
    <w:rsid w:val="00142DD2"/>
    <w:rsid w:val="001438AC"/>
    <w:rsid w:val="00143C40"/>
    <w:rsid w:val="00144506"/>
    <w:rsid w:val="001445CD"/>
    <w:rsid w:val="00145F3B"/>
    <w:rsid w:val="00162E74"/>
    <w:rsid w:val="001641B0"/>
    <w:rsid w:val="0016458A"/>
    <w:rsid w:val="001669B5"/>
    <w:rsid w:val="0017326E"/>
    <w:rsid w:val="00174E92"/>
    <w:rsid w:val="001811A0"/>
    <w:rsid w:val="00192497"/>
    <w:rsid w:val="00194E96"/>
    <w:rsid w:val="001A0F7C"/>
    <w:rsid w:val="001A3B75"/>
    <w:rsid w:val="001A5272"/>
    <w:rsid w:val="001C152F"/>
    <w:rsid w:val="001D1921"/>
    <w:rsid w:val="001E0A07"/>
    <w:rsid w:val="001E1C24"/>
    <w:rsid w:val="001E7507"/>
    <w:rsid w:val="001F073B"/>
    <w:rsid w:val="001F6E46"/>
    <w:rsid w:val="001F7A3D"/>
    <w:rsid w:val="00201958"/>
    <w:rsid w:val="002032EE"/>
    <w:rsid w:val="00205A59"/>
    <w:rsid w:val="00205DC8"/>
    <w:rsid w:val="002075AD"/>
    <w:rsid w:val="00211094"/>
    <w:rsid w:val="00211823"/>
    <w:rsid w:val="00212DF5"/>
    <w:rsid w:val="00222393"/>
    <w:rsid w:val="002232F3"/>
    <w:rsid w:val="0022390C"/>
    <w:rsid w:val="002358B7"/>
    <w:rsid w:val="00240289"/>
    <w:rsid w:val="00240972"/>
    <w:rsid w:val="00244C91"/>
    <w:rsid w:val="00246131"/>
    <w:rsid w:val="00246B70"/>
    <w:rsid w:val="0025005F"/>
    <w:rsid w:val="00252C9E"/>
    <w:rsid w:val="00253F0D"/>
    <w:rsid w:val="00256FE8"/>
    <w:rsid w:val="00261797"/>
    <w:rsid w:val="0026228C"/>
    <w:rsid w:val="002641A3"/>
    <w:rsid w:val="00266A46"/>
    <w:rsid w:val="00271091"/>
    <w:rsid w:val="00276E53"/>
    <w:rsid w:val="00285B73"/>
    <w:rsid w:val="00295647"/>
    <w:rsid w:val="002A2ADD"/>
    <w:rsid w:val="002A7DB8"/>
    <w:rsid w:val="002B2587"/>
    <w:rsid w:val="002B3EC2"/>
    <w:rsid w:val="002B5378"/>
    <w:rsid w:val="002B5F3C"/>
    <w:rsid w:val="002B7F07"/>
    <w:rsid w:val="002C04D9"/>
    <w:rsid w:val="002C37C9"/>
    <w:rsid w:val="002C7369"/>
    <w:rsid w:val="002D18B6"/>
    <w:rsid w:val="002E0768"/>
    <w:rsid w:val="002E3419"/>
    <w:rsid w:val="002E5FB3"/>
    <w:rsid w:val="002E62F7"/>
    <w:rsid w:val="002F132B"/>
    <w:rsid w:val="002F3C5F"/>
    <w:rsid w:val="002F3DCC"/>
    <w:rsid w:val="003003DD"/>
    <w:rsid w:val="003005D7"/>
    <w:rsid w:val="00301234"/>
    <w:rsid w:val="00301F28"/>
    <w:rsid w:val="0030503E"/>
    <w:rsid w:val="00320563"/>
    <w:rsid w:val="00333A80"/>
    <w:rsid w:val="00336196"/>
    <w:rsid w:val="0034167F"/>
    <w:rsid w:val="0034323B"/>
    <w:rsid w:val="003459F0"/>
    <w:rsid w:val="003567C1"/>
    <w:rsid w:val="00361695"/>
    <w:rsid w:val="00362D3A"/>
    <w:rsid w:val="0036716A"/>
    <w:rsid w:val="00373157"/>
    <w:rsid w:val="00374718"/>
    <w:rsid w:val="003839B5"/>
    <w:rsid w:val="00384506"/>
    <w:rsid w:val="003A0A63"/>
    <w:rsid w:val="003B242A"/>
    <w:rsid w:val="003C1665"/>
    <w:rsid w:val="003D1384"/>
    <w:rsid w:val="003D59FA"/>
    <w:rsid w:val="003D728F"/>
    <w:rsid w:val="003E41D0"/>
    <w:rsid w:val="003E4589"/>
    <w:rsid w:val="003E6F35"/>
    <w:rsid w:val="003E7519"/>
    <w:rsid w:val="003F1DB6"/>
    <w:rsid w:val="003F614B"/>
    <w:rsid w:val="004021A8"/>
    <w:rsid w:val="00404DED"/>
    <w:rsid w:val="00407D88"/>
    <w:rsid w:val="00422429"/>
    <w:rsid w:val="00422683"/>
    <w:rsid w:val="0042277D"/>
    <w:rsid w:val="00425D7E"/>
    <w:rsid w:val="00433582"/>
    <w:rsid w:val="00433AAD"/>
    <w:rsid w:val="0043509C"/>
    <w:rsid w:val="00437980"/>
    <w:rsid w:val="00440CC1"/>
    <w:rsid w:val="004421FC"/>
    <w:rsid w:val="00443833"/>
    <w:rsid w:val="00461B76"/>
    <w:rsid w:val="00461DD3"/>
    <w:rsid w:val="00463176"/>
    <w:rsid w:val="00466386"/>
    <w:rsid w:val="004739A1"/>
    <w:rsid w:val="00474D81"/>
    <w:rsid w:val="00476B3E"/>
    <w:rsid w:val="00482F78"/>
    <w:rsid w:val="0048386E"/>
    <w:rsid w:val="00484E5B"/>
    <w:rsid w:val="0048525F"/>
    <w:rsid w:val="004957DF"/>
    <w:rsid w:val="004961EC"/>
    <w:rsid w:val="004A2976"/>
    <w:rsid w:val="004A2B31"/>
    <w:rsid w:val="004A4F69"/>
    <w:rsid w:val="004A6C01"/>
    <w:rsid w:val="004A7130"/>
    <w:rsid w:val="004B0650"/>
    <w:rsid w:val="004B1FA2"/>
    <w:rsid w:val="004B33A2"/>
    <w:rsid w:val="004B5A2E"/>
    <w:rsid w:val="004C3EDB"/>
    <w:rsid w:val="004D2E0B"/>
    <w:rsid w:val="004D5E33"/>
    <w:rsid w:val="004E0543"/>
    <w:rsid w:val="004E373E"/>
    <w:rsid w:val="004E40DA"/>
    <w:rsid w:val="004E6407"/>
    <w:rsid w:val="004F0833"/>
    <w:rsid w:val="004F0AEA"/>
    <w:rsid w:val="004F10FD"/>
    <w:rsid w:val="004F242D"/>
    <w:rsid w:val="004F7B77"/>
    <w:rsid w:val="004F7E8B"/>
    <w:rsid w:val="005005D1"/>
    <w:rsid w:val="00500DED"/>
    <w:rsid w:val="005017CC"/>
    <w:rsid w:val="00501B1F"/>
    <w:rsid w:val="00501FC4"/>
    <w:rsid w:val="00505A3D"/>
    <w:rsid w:val="005114CC"/>
    <w:rsid w:val="00512715"/>
    <w:rsid w:val="00516742"/>
    <w:rsid w:val="00531781"/>
    <w:rsid w:val="00535B0C"/>
    <w:rsid w:val="00536E38"/>
    <w:rsid w:val="00541C7E"/>
    <w:rsid w:val="00542624"/>
    <w:rsid w:val="005453D9"/>
    <w:rsid w:val="0054756F"/>
    <w:rsid w:val="00552005"/>
    <w:rsid w:val="00554D62"/>
    <w:rsid w:val="005610FE"/>
    <w:rsid w:val="00565CE3"/>
    <w:rsid w:val="005662E4"/>
    <w:rsid w:val="005670D7"/>
    <w:rsid w:val="005744DE"/>
    <w:rsid w:val="005802D7"/>
    <w:rsid w:val="00584311"/>
    <w:rsid w:val="005853E8"/>
    <w:rsid w:val="00590420"/>
    <w:rsid w:val="00592DA6"/>
    <w:rsid w:val="005A6EA5"/>
    <w:rsid w:val="005A7227"/>
    <w:rsid w:val="005B1279"/>
    <w:rsid w:val="005B20D3"/>
    <w:rsid w:val="005B2C74"/>
    <w:rsid w:val="005B34D6"/>
    <w:rsid w:val="005B529E"/>
    <w:rsid w:val="005B7BF5"/>
    <w:rsid w:val="005C0703"/>
    <w:rsid w:val="005C6E5B"/>
    <w:rsid w:val="005C70EE"/>
    <w:rsid w:val="005D1884"/>
    <w:rsid w:val="005D37A2"/>
    <w:rsid w:val="005D55A4"/>
    <w:rsid w:val="005E0D1B"/>
    <w:rsid w:val="005E2CBB"/>
    <w:rsid w:val="005E611D"/>
    <w:rsid w:val="005E62F5"/>
    <w:rsid w:val="005E6648"/>
    <w:rsid w:val="005E7FE2"/>
    <w:rsid w:val="005F2D41"/>
    <w:rsid w:val="005F3EDA"/>
    <w:rsid w:val="005F3FF9"/>
    <w:rsid w:val="005F4E3B"/>
    <w:rsid w:val="005F7D33"/>
    <w:rsid w:val="00600F61"/>
    <w:rsid w:val="0060604F"/>
    <w:rsid w:val="006063E6"/>
    <w:rsid w:val="00612F2E"/>
    <w:rsid w:val="00612FE8"/>
    <w:rsid w:val="00615AB4"/>
    <w:rsid w:val="00616F45"/>
    <w:rsid w:val="006208EE"/>
    <w:rsid w:val="00622085"/>
    <w:rsid w:val="006301B2"/>
    <w:rsid w:val="006312F1"/>
    <w:rsid w:val="00631E31"/>
    <w:rsid w:val="006348EA"/>
    <w:rsid w:val="006506AA"/>
    <w:rsid w:val="00652466"/>
    <w:rsid w:val="0065285D"/>
    <w:rsid w:val="006532C3"/>
    <w:rsid w:val="00655F9C"/>
    <w:rsid w:val="006626F7"/>
    <w:rsid w:val="0066394C"/>
    <w:rsid w:val="00665BE6"/>
    <w:rsid w:val="006705C8"/>
    <w:rsid w:val="0067063A"/>
    <w:rsid w:val="006719A4"/>
    <w:rsid w:val="006719F3"/>
    <w:rsid w:val="0067767D"/>
    <w:rsid w:val="006776F3"/>
    <w:rsid w:val="00685549"/>
    <w:rsid w:val="0068581C"/>
    <w:rsid w:val="006861C2"/>
    <w:rsid w:val="00690862"/>
    <w:rsid w:val="006926DA"/>
    <w:rsid w:val="006932E7"/>
    <w:rsid w:val="006B2EBE"/>
    <w:rsid w:val="006B47A7"/>
    <w:rsid w:val="006C10A1"/>
    <w:rsid w:val="006C4A56"/>
    <w:rsid w:val="006C4EFD"/>
    <w:rsid w:val="006C6BD5"/>
    <w:rsid w:val="006D1A1D"/>
    <w:rsid w:val="006F034A"/>
    <w:rsid w:val="006F1A20"/>
    <w:rsid w:val="006F2DC6"/>
    <w:rsid w:val="006F2E33"/>
    <w:rsid w:val="006F3B6E"/>
    <w:rsid w:val="006F5B09"/>
    <w:rsid w:val="006F6726"/>
    <w:rsid w:val="006F7209"/>
    <w:rsid w:val="006F78E4"/>
    <w:rsid w:val="00701BC1"/>
    <w:rsid w:val="00704AE1"/>
    <w:rsid w:val="00704BEC"/>
    <w:rsid w:val="00707296"/>
    <w:rsid w:val="00711CF8"/>
    <w:rsid w:val="007232DA"/>
    <w:rsid w:val="00726E60"/>
    <w:rsid w:val="007309D5"/>
    <w:rsid w:val="00734A16"/>
    <w:rsid w:val="0073613B"/>
    <w:rsid w:val="00742E2A"/>
    <w:rsid w:val="00744822"/>
    <w:rsid w:val="007458B4"/>
    <w:rsid w:val="007522E4"/>
    <w:rsid w:val="00755488"/>
    <w:rsid w:val="00757A79"/>
    <w:rsid w:val="007615FF"/>
    <w:rsid w:val="00765F49"/>
    <w:rsid w:val="00766DEF"/>
    <w:rsid w:val="0077129C"/>
    <w:rsid w:val="0077130E"/>
    <w:rsid w:val="007725DF"/>
    <w:rsid w:val="00776FB8"/>
    <w:rsid w:val="00784DE4"/>
    <w:rsid w:val="00785283"/>
    <w:rsid w:val="0078711A"/>
    <w:rsid w:val="0079052C"/>
    <w:rsid w:val="007918D1"/>
    <w:rsid w:val="007959F7"/>
    <w:rsid w:val="007A4B79"/>
    <w:rsid w:val="007A58EE"/>
    <w:rsid w:val="007A5DF2"/>
    <w:rsid w:val="007A73B4"/>
    <w:rsid w:val="007B3DE8"/>
    <w:rsid w:val="007C3D1A"/>
    <w:rsid w:val="007D1BCB"/>
    <w:rsid w:val="007D52BF"/>
    <w:rsid w:val="007E29C1"/>
    <w:rsid w:val="007E323B"/>
    <w:rsid w:val="007E5A6F"/>
    <w:rsid w:val="007E70ED"/>
    <w:rsid w:val="007F1438"/>
    <w:rsid w:val="007F2488"/>
    <w:rsid w:val="007F34A3"/>
    <w:rsid w:val="007F35ED"/>
    <w:rsid w:val="007F5798"/>
    <w:rsid w:val="007F7C3F"/>
    <w:rsid w:val="008055F5"/>
    <w:rsid w:val="008067A6"/>
    <w:rsid w:val="008072C7"/>
    <w:rsid w:val="0081107F"/>
    <w:rsid w:val="00811ED3"/>
    <w:rsid w:val="00813FCB"/>
    <w:rsid w:val="00815D95"/>
    <w:rsid w:val="00822B62"/>
    <w:rsid w:val="00826A61"/>
    <w:rsid w:val="00830773"/>
    <w:rsid w:val="00830895"/>
    <w:rsid w:val="00835513"/>
    <w:rsid w:val="00840F43"/>
    <w:rsid w:val="00843E6F"/>
    <w:rsid w:val="00847C3D"/>
    <w:rsid w:val="0085015A"/>
    <w:rsid w:val="008515CB"/>
    <w:rsid w:val="008553B9"/>
    <w:rsid w:val="00855DEA"/>
    <w:rsid w:val="0086009D"/>
    <w:rsid w:val="00861762"/>
    <w:rsid w:val="0087217C"/>
    <w:rsid w:val="00872904"/>
    <w:rsid w:val="00875874"/>
    <w:rsid w:val="008A28EE"/>
    <w:rsid w:val="008A5738"/>
    <w:rsid w:val="008C169B"/>
    <w:rsid w:val="008C1D04"/>
    <w:rsid w:val="008C44F1"/>
    <w:rsid w:val="008C48AF"/>
    <w:rsid w:val="008C4F00"/>
    <w:rsid w:val="008D53EF"/>
    <w:rsid w:val="008D6028"/>
    <w:rsid w:val="008D6656"/>
    <w:rsid w:val="008E075B"/>
    <w:rsid w:val="008E10CC"/>
    <w:rsid w:val="008E3A0A"/>
    <w:rsid w:val="008F3288"/>
    <w:rsid w:val="008F37EB"/>
    <w:rsid w:val="008F6F8F"/>
    <w:rsid w:val="00901096"/>
    <w:rsid w:val="00905479"/>
    <w:rsid w:val="00906210"/>
    <w:rsid w:val="009135AC"/>
    <w:rsid w:val="009136FC"/>
    <w:rsid w:val="00922C52"/>
    <w:rsid w:val="009343AB"/>
    <w:rsid w:val="0093563D"/>
    <w:rsid w:val="00943E72"/>
    <w:rsid w:val="00945EA3"/>
    <w:rsid w:val="0095543B"/>
    <w:rsid w:val="009625B0"/>
    <w:rsid w:val="00971C34"/>
    <w:rsid w:val="00973D4A"/>
    <w:rsid w:val="00975478"/>
    <w:rsid w:val="00984227"/>
    <w:rsid w:val="009872C6"/>
    <w:rsid w:val="00995723"/>
    <w:rsid w:val="00995B25"/>
    <w:rsid w:val="009A764E"/>
    <w:rsid w:val="009A79AE"/>
    <w:rsid w:val="009A7CA7"/>
    <w:rsid w:val="009B0DD7"/>
    <w:rsid w:val="009B38D3"/>
    <w:rsid w:val="009C1AF9"/>
    <w:rsid w:val="009D210B"/>
    <w:rsid w:val="009D36E7"/>
    <w:rsid w:val="009D4DC0"/>
    <w:rsid w:val="009D52AD"/>
    <w:rsid w:val="009D7093"/>
    <w:rsid w:val="009D7AC6"/>
    <w:rsid w:val="009E05B0"/>
    <w:rsid w:val="009E2D2B"/>
    <w:rsid w:val="009E7C7C"/>
    <w:rsid w:val="009F2066"/>
    <w:rsid w:val="009F3BB4"/>
    <w:rsid w:val="009F3BBA"/>
    <w:rsid w:val="009F4BD4"/>
    <w:rsid w:val="009F67EC"/>
    <w:rsid w:val="00A00DBA"/>
    <w:rsid w:val="00A04D6B"/>
    <w:rsid w:val="00A107E7"/>
    <w:rsid w:val="00A112A0"/>
    <w:rsid w:val="00A113EA"/>
    <w:rsid w:val="00A1193E"/>
    <w:rsid w:val="00A15926"/>
    <w:rsid w:val="00A2193D"/>
    <w:rsid w:val="00A21AEB"/>
    <w:rsid w:val="00A23791"/>
    <w:rsid w:val="00A239DF"/>
    <w:rsid w:val="00A23F8B"/>
    <w:rsid w:val="00A33995"/>
    <w:rsid w:val="00A37982"/>
    <w:rsid w:val="00A4018C"/>
    <w:rsid w:val="00A40D1A"/>
    <w:rsid w:val="00A415F1"/>
    <w:rsid w:val="00A512B1"/>
    <w:rsid w:val="00A567B9"/>
    <w:rsid w:val="00A57E0B"/>
    <w:rsid w:val="00A611D4"/>
    <w:rsid w:val="00A61217"/>
    <w:rsid w:val="00A631E3"/>
    <w:rsid w:val="00A637B2"/>
    <w:rsid w:val="00A66405"/>
    <w:rsid w:val="00A67097"/>
    <w:rsid w:val="00A7422F"/>
    <w:rsid w:val="00A7465E"/>
    <w:rsid w:val="00A800FC"/>
    <w:rsid w:val="00A921CB"/>
    <w:rsid w:val="00A9425C"/>
    <w:rsid w:val="00A97699"/>
    <w:rsid w:val="00AA0FE9"/>
    <w:rsid w:val="00AA21D6"/>
    <w:rsid w:val="00AA7A1D"/>
    <w:rsid w:val="00AB293C"/>
    <w:rsid w:val="00AB635B"/>
    <w:rsid w:val="00AC0E85"/>
    <w:rsid w:val="00AC4542"/>
    <w:rsid w:val="00AC4F42"/>
    <w:rsid w:val="00AC56D0"/>
    <w:rsid w:val="00AD40C5"/>
    <w:rsid w:val="00AD5333"/>
    <w:rsid w:val="00AE33A1"/>
    <w:rsid w:val="00AE50D5"/>
    <w:rsid w:val="00AF21AB"/>
    <w:rsid w:val="00AF2234"/>
    <w:rsid w:val="00AF2939"/>
    <w:rsid w:val="00AF60B9"/>
    <w:rsid w:val="00AF6151"/>
    <w:rsid w:val="00B00FCE"/>
    <w:rsid w:val="00B01AA8"/>
    <w:rsid w:val="00B12A07"/>
    <w:rsid w:val="00B14CF3"/>
    <w:rsid w:val="00B14D44"/>
    <w:rsid w:val="00B22C1F"/>
    <w:rsid w:val="00B30BB0"/>
    <w:rsid w:val="00B331DB"/>
    <w:rsid w:val="00B3331D"/>
    <w:rsid w:val="00B33501"/>
    <w:rsid w:val="00B33589"/>
    <w:rsid w:val="00B343CB"/>
    <w:rsid w:val="00B41FD9"/>
    <w:rsid w:val="00B60312"/>
    <w:rsid w:val="00B6129C"/>
    <w:rsid w:val="00B63815"/>
    <w:rsid w:val="00B651F0"/>
    <w:rsid w:val="00B703BD"/>
    <w:rsid w:val="00B72E9F"/>
    <w:rsid w:val="00B7321D"/>
    <w:rsid w:val="00B739F0"/>
    <w:rsid w:val="00B87233"/>
    <w:rsid w:val="00B91C76"/>
    <w:rsid w:val="00BA2A20"/>
    <w:rsid w:val="00BA433B"/>
    <w:rsid w:val="00BA64C0"/>
    <w:rsid w:val="00BA6BD3"/>
    <w:rsid w:val="00BA7914"/>
    <w:rsid w:val="00BB3BE6"/>
    <w:rsid w:val="00BC4144"/>
    <w:rsid w:val="00BC4154"/>
    <w:rsid w:val="00BC4400"/>
    <w:rsid w:val="00BC62FD"/>
    <w:rsid w:val="00BD152B"/>
    <w:rsid w:val="00BD19EB"/>
    <w:rsid w:val="00BD1CF8"/>
    <w:rsid w:val="00BE2353"/>
    <w:rsid w:val="00BE30C7"/>
    <w:rsid w:val="00BE51E3"/>
    <w:rsid w:val="00BF3A99"/>
    <w:rsid w:val="00BF5DA7"/>
    <w:rsid w:val="00C047A7"/>
    <w:rsid w:val="00C07874"/>
    <w:rsid w:val="00C12D3A"/>
    <w:rsid w:val="00C12F58"/>
    <w:rsid w:val="00C13D7E"/>
    <w:rsid w:val="00C1519E"/>
    <w:rsid w:val="00C15EE1"/>
    <w:rsid w:val="00C20065"/>
    <w:rsid w:val="00C262E1"/>
    <w:rsid w:val="00C26877"/>
    <w:rsid w:val="00C26E67"/>
    <w:rsid w:val="00C27319"/>
    <w:rsid w:val="00C429E0"/>
    <w:rsid w:val="00C4484B"/>
    <w:rsid w:val="00C46679"/>
    <w:rsid w:val="00C53103"/>
    <w:rsid w:val="00C57175"/>
    <w:rsid w:val="00C6075C"/>
    <w:rsid w:val="00C60D0E"/>
    <w:rsid w:val="00C6609A"/>
    <w:rsid w:val="00C7114D"/>
    <w:rsid w:val="00C77902"/>
    <w:rsid w:val="00C80A08"/>
    <w:rsid w:val="00C84C0F"/>
    <w:rsid w:val="00C84CEA"/>
    <w:rsid w:val="00C869DA"/>
    <w:rsid w:val="00C875F3"/>
    <w:rsid w:val="00C876AE"/>
    <w:rsid w:val="00C9180B"/>
    <w:rsid w:val="00C945A6"/>
    <w:rsid w:val="00CB0028"/>
    <w:rsid w:val="00CC21AE"/>
    <w:rsid w:val="00CC47EA"/>
    <w:rsid w:val="00CC6170"/>
    <w:rsid w:val="00CD1175"/>
    <w:rsid w:val="00CD1212"/>
    <w:rsid w:val="00CD5455"/>
    <w:rsid w:val="00CD61CD"/>
    <w:rsid w:val="00CD6505"/>
    <w:rsid w:val="00CE37E7"/>
    <w:rsid w:val="00CF3038"/>
    <w:rsid w:val="00CF5339"/>
    <w:rsid w:val="00D0002C"/>
    <w:rsid w:val="00D03A74"/>
    <w:rsid w:val="00D0556D"/>
    <w:rsid w:val="00D224B3"/>
    <w:rsid w:val="00D230F7"/>
    <w:rsid w:val="00D26DDE"/>
    <w:rsid w:val="00D27456"/>
    <w:rsid w:val="00D33355"/>
    <w:rsid w:val="00D37DB8"/>
    <w:rsid w:val="00D42884"/>
    <w:rsid w:val="00D43678"/>
    <w:rsid w:val="00D45A3E"/>
    <w:rsid w:val="00D46292"/>
    <w:rsid w:val="00D60DEA"/>
    <w:rsid w:val="00D72CEC"/>
    <w:rsid w:val="00D7394D"/>
    <w:rsid w:val="00D85A14"/>
    <w:rsid w:val="00D959CF"/>
    <w:rsid w:val="00D97733"/>
    <w:rsid w:val="00DA1A07"/>
    <w:rsid w:val="00DA7B40"/>
    <w:rsid w:val="00DC0FA1"/>
    <w:rsid w:val="00DC2C3A"/>
    <w:rsid w:val="00DC7017"/>
    <w:rsid w:val="00DD33E9"/>
    <w:rsid w:val="00DD7CE6"/>
    <w:rsid w:val="00DE7A04"/>
    <w:rsid w:val="00DF0020"/>
    <w:rsid w:val="00DF16C3"/>
    <w:rsid w:val="00DF3EC2"/>
    <w:rsid w:val="00DF5730"/>
    <w:rsid w:val="00DF6251"/>
    <w:rsid w:val="00E01422"/>
    <w:rsid w:val="00E04362"/>
    <w:rsid w:val="00E06D33"/>
    <w:rsid w:val="00E07561"/>
    <w:rsid w:val="00E11909"/>
    <w:rsid w:val="00E123D8"/>
    <w:rsid w:val="00E132A2"/>
    <w:rsid w:val="00E15811"/>
    <w:rsid w:val="00E161F6"/>
    <w:rsid w:val="00E251D4"/>
    <w:rsid w:val="00E25672"/>
    <w:rsid w:val="00E32A4E"/>
    <w:rsid w:val="00E345D7"/>
    <w:rsid w:val="00E456FB"/>
    <w:rsid w:val="00E47622"/>
    <w:rsid w:val="00E50A91"/>
    <w:rsid w:val="00E53909"/>
    <w:rsid w:val="00E6486A"/>
    <w:rsid w:val="00E652A2"/>
    <w:rsid w:val="00E725F2"/>
    <w:rsid w:val="00E734E3"/>
    <w:rsid w:val="00E81013"/>
    <w:rsid w:val="00E820B8"/>
    <w:rsid w:val="00E84D4B"/>
    <w:rsid w:val="00E87EF7"/>
    <w:rsid w:val="00E924D8"/>
    <w:rsid w:val="00E97584"/>
    <w:rsid w:val="00E976AF"/>
    <w:rsid w:val="00EA0243"/>
    <w:rsid w:val="00EA3E32"/>
    <w:rsid w:val="00EB24C1"/>
    <w:rsid w:val="00EB380C"/>
    <w:rsid w:val="00EB4B72"/>
    <w:rsid w:val="00EB5E7A"/>
    <w:rsid w:val="00EB6147"/>
    <w:rsid w:val="00EC341D"/>
    <w:rsid w:val="00EC4C7F"/>
    <w:rsid w:val="00ED258E"/>
    <w:rsid w:val="00ED29F5"/>
    <w:rsid w:val="00ED3C8E"/>
    <w:rsid w:val="00ED7F75"/>
    <w:rsid w:val="00EE1240"/>
    <w:rsid w:val="00EE35A6"/>
    <w:rsid w:val="00EE791C"/>
    <w:rsid w:val="00EF2E83"/>
    <w:rsid w:val="00EF3977"/>
    <w:rsid w:val="00EF73B3"/>
    <w:rsid w:val="00F1707A"/>
    <w:rsid w:val="00F24133"/>
    <w:rsid w:val="00F266F3"/>
    <w:rsid w:val="00F26C5A"/>
    <w:rsid w:val="00F31486"/>
    <w:rsid w:val="00F34B8A"/>
    <w:rsid w:val="00F409D9"/>
    <w:rsid w:val="00F4397F"/>
    <w:rsid w:val="00F44A95"/>
    <w:rsid w:val="00F46624"/>
    <w:rsid w:val="00F532FD"/>
    <w:rsid w:val="00F61663"/>
    <w:rsid w:val="00F7303A"/>
    <w:rsid w:val="00F7348E"/>
    <w:rsid w:val="00F74A6C"/>
    <w:rsid w:val="00F76018"/>
    <w:rsid w:val="00F8459C"/>
    <w:rsid w:val="00F85CCE"/>
    <w:rsid w:val="00F860FB"/>
    <w:rsid w:val="00F90DBE"/>
    <w:rsid w:val="00FA5E7A"/>
    <w:rsid w:val="00FB1516"/>
    <w:rsid w:val="00FB1676"/>
    <w:rsid w:val="00FB35A0"/>
    <w:rsid w:val="00FB6CA7"/>
    <w:rsid w:val="00FC0593"/>
    <w:rsid w:val="00FC2259"/>
    <w:rsid w:val="00FC29B2"/>
    <w:rsid w:val="00FC3D7D"/>
    <w:rsid w:val="00FC44ED"/>
    <w:rsid w:val="00FC61F7"/>
    <w:rsid w:val="00FD0D2B"/>
    <w:rsid w:val="00FD0F28"/>
    <w:rsid w:val="00FD27A7"/>
    <w:rsid w:val="00FD53E0"/>
    <w:rsid w:val="00FD6749"/>
    <w:rsid w:val="00FE1BAD"/>
    <w:rsid w:val="00FE7DA5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C8E"/>
  <w15:chartTrackingRefBased/>
  <w15:docId w15:val="{26223410-C50C-4D2E-996F-734919A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01AA8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B01AA8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1AA8"/>
  </w:style>
  <w:style w:type="paragraph" w:styleId="Intestazione">
    <w:name w:val="header"/>
    <w:basedOn w:val="Normale"/>
    <w:link w:val="IntestazioneCarattere"/>
    <w:rsid w:val="00B01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1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01AA8"/>
    <w:rPr>
      <w:color w:val="0000FF"/>
      <w:u w:val="single"/>
    </w:rPr>
  </w:style>
  <w:style w:type="paragraph" w:customStyle="1" w:styleId="stile1">
    <w:name w:val="stile1"/>
    <w:basedOn w:val="Normale"/>
    <w:rsid w:val="00B01AA8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Nessunaspaziatura">
    <w:name w:val="No Spacing"/>
    <w:uiPriority w:val="1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F5DA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5DA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5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C4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6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6D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6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6D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6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6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72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urorossat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gaengineer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gaengineerin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egaengineer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gaengineering.com/osservatorio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B4BB-452A-4811-B0D2-E69C601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Federico Maritan - Vega Engineering S.r.l.</cp:lastModifiedBy>
  <cp:revision>12</cp:revision>
  <cp:lastPrinted>2022-04-28T10:01:00Z</cp:lastPrinted>
  <dcterms:created xsi:type="dcterms:W3CDTF">2022-04-28T11:12:00Z</dcterms:created>
  <dcterms:modified xsi:type="dcterms:W3CDTF">2022-04-28T12:44:00Z</dcterms:modified>
</cp:coreProperties>
</file>