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3C" w:rsidRPr="00634B3C" w:rsidRDefault="00634B3C" w:rsidP="00634B3C">
      <w:pPr>
        <w:spacing w:line="276" w:lineRule="auto"/>
        <w:jc w:val="both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1F2096" w:rsidRPr="001F2096" w:rsidRDefault="001F2096" w:rsidP="001F2096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1F2096">
        <w:rPr>
          <w:rFonts w:ascii="Arial" w:hAnsi="Arial" w:cs="Arial"/>
          <w:b/>
          <w:bCs/>
          <w:color w:val="003366"/>
          <w:sz w:val="32"/>
          <w:szCs w:val="32"/>
        </w:rPr>
        <w:t>MORTI SUL LAVORO IN VENETO.</w:t>
      </w:r>
    </w:p>
    <w:p w:rsidR="001F2096" w:rsidRPr="001F2096" w:rsidRDefault="001F2096" w:rsidP="001F2096">
      <w:pPr>
        <w:pStyle w:val="Nessunaspaziatura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1F2096">
        <w:rPr>
          <w:rFonts w:ascii="Arial" w:hAnsi="Arial" w:cs="Arial"/>
          <w:b/>
          <w:bCs/>
          <w:color w:val="003366"/>
          <w:sz w:val="32"/>
          <w:szCs w:val="32"/>
        </w:rPr>
        <w:t>SONO 39 GLI INFORTUNI MORTALI RILEVATI NEL PRIMO SEMESTRE 2019.</w:t>
      </w:r>
    </w:p>
    <w:p w:rsidR="001F2096" w:rsidRPr="001F2096" w:rsidRDefault="001F2096" w:rsidP="001F2096">
      <w:pPr>
        <w:pStyle w:val="Nessunaspaziatura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1F2096" w:rsidRPr="001F2096" w:rsidRDefault="001F2096" w:rsidP="001F2096">
      <w:pPr>
        <w:pStyle w:val="Nessunaspaziatura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1F2096">
        <w:rPr>
          <w:rFonts w:ascii="Arial" w:hAnsi="Arial" w:cs="Arial"/>
          <w:b/>
          <w:bCs/>
          <w:color w:val="003366"/>
          <w:sz w:val="32"/>
          <w:szCs w:val="32"/>
        </w:rPr>
        <w:t xml:space="preserve">“MENO” 34 </w:t>
      </w: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% </w:t>
      </w:r>
      <w:r w:rsidRPr="001F2096">
        <w:rPr>
          <w:rFonts w:ascii="Arial" w:hAnsi="Arial" w:cs="Arial"/>
          <w:b/>
          <w:bCs/>
          <w:color w:val="003366"/>
          <w:sz w:val="32"/>
          <w:szCs w:val="32"/>
        </w:rPr>
        <w:t>RISPETTO AL 2018 MA L’EMERGENZA RIMANE.</w:t>
      </w:r>
    </w:p>
    <w:p w:rsidR="001F2096" w:rsidRDefault="001F2096" w:rsidP="001F2096">
      <w:pPr>
        <w:pStyle w:val="Nessunaspaziatura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1F2096">
        <w:rPr>
          <w:rFonts w:ascii="Arial" w:hAnsi="Arial" w:cs="Arial"/>
          <w:b/>
          <w:bCs/>
          <w:color w:val="003366"/>
          <w:sz w:val="32"/>
          <w:szCs w:val="32"/>
        </w:rPr>
        <w:t>SONO 22 I DECESSI REGISTRATI IN OCCASIONE DI LAVORO E 17 IN ITINERE. GLI STRANIERI SONO UN QUARTO DELLE VITTIME</w:t>
      </w:r>
      <w:r>
        <w:rPr>
          <w:rFonts w:ascii="Arial" w:hAnsi="Arial" w:cs="Arial"/>
          <w:b/>
          <w:bCs/>
          <w:color w:val="003366"/>
          <w:sz w:val="32"/>
          <w:szCs w:val="32"/>
        </w:rPr>
        <w:t>.</w:t>
      </w:r>
    </w:p>
    <w:p w:rsidR="001F2096" w:rsidRPr="001F2096" w:rsidRDefault="001F2096" w:rsidP="001F2096">
      <w:pPr>
        <w:pStyle w:val="Nessunaspaziatura"/>
        <w:rPr>
          <w:rFonts w:ascii="Arial" w:hAnsi="Arial" w:cs="Arial"/>
          <w:b/>
          <w:bCs/>
          <w:color w:val="003366"/>
          <w:sz w:val="26"/>
          <w:szCs w:val="26"/>
        </w:rPr>
      </w:pPr>
    </w:p>
    <w:p w:rsidR="001F2096" w:rsidRDefault="001F2096" w:rsidP="001F2096">
      <w:pPr>
        <w:pStyle w:val="Nessunaspaziatura"/>
        <w:jc w:val="both"/>
        <w:rPr>
          <w:rFonts w:ascii="Arial" w:hAnsi="Arial" w:cs="Arial"/>
          <w:b/>
          <w:bCs/>
          <w:color w:val="003366"/>
          <w:sz w:val="26"/>
          <w:szCs w:val="26"/>
        </w:rPr>
      </w:pPr>
      <w:r>
        <w:rPr>
          <w:rFonts w:ascii="Arial" w:hAnsi="Arial" w:cs="Arial"/>
          <w:b/>
          <w:bCs/>
          <w:color w:val="003366"/>
          <w:sz w:val="26"/>
          <w:szCs w:val="26"/>
        </w:rPr>
        <w:t>I</w:t>
      </w: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 xml:space="preserve">l </w:t>
      </w:r>
      <w:r>
        <w:rPr>
          <w:rFonts w:ascii="Arial" w:hAnsi="Arial" w:cs="Arial"/>
          <w:b/>
          <w:bCs/>
          <w:color w:val="003366"/>
          <w:sz w:val="26"/>
          <w:szCs w:val="26"/>
        </w:rPr>
        <w:t>V</w:t>
      </w: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 xml:space="preserve">eneto </w:t>
      </w:r>
      <w:r>
        <w:rPr>
          <w:rFonts w:ascii="Arial" w:hAnsi="Arial" w:cs="Arial"/>
          <w:b/>
          <w:bCs/>
          <w:color w:val="003366"/>
          <w:sz w:val="26"/>
          <w:szCs w:val="26"/>
        </w:rPr>
        <w:t>è</w:t>
      </w: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 xml:space="preserve"> ancora tristemente tra le prime regioni in </w:t>
      </w:r>
      <w:r>
        <w:rPr>
          <w:rFonts w:ascii="Arial" w:hAnsi="Arial" w:cs="Arial"/>
          <w:b/>
          <w:bCs/>
          <w:color w:val="003366"/>
          <w:sz w:val="26"/>
          <w:szCs w:val="26"/>
        </w:rPr>
        <w:t>Italia per numero di decessi. Una media della mortalità</w:t>
      </w: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 xml:space="preserve"> inquietante: 6 vittime al mese.</w:t>
      </w:r>
    </w:p>
    <w:p w:rsidR="001F2096" w:rsidRPr="001F2096" w:rsidRDefault="001F2096" w:rsidP="001F2096">
      <w:pPr>
        <w:pStyle w:val="Nessunaspaziatura"/>
        <w:jc w:val="both"/>
        <w:rPr>
          <w:rFonts w:ascii="Arial" w:hAnsi="Arial" w:cs="Arial"/>
          <w:b/>
          <w:bCs/>
          <w:color w:val="003366"/>
          <w:sz w:val="26"/>
          <w:szCs w:val="26"/>
        </w:rPr>
      </w:pP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>A Verona il maggior num</w:t>
      </w:r>
      <w:r>
        <w:rPr>
          <w:rFonts w:ascii="Arial" w:hAnsi="Arial" w:cs="Arial"/>
          <w:b/>
          <w:bCs/>
          <w:color w:val="003366"/>
          <w:sz w:val="26"/>
          <w:szCs w:val="26"/>
        </w:rPr>
        <w:t>ero di infortuni mortali (13), seguita da Vicenza (12),</w:t>
      </w:r>
      <w:r w:rsidRPr="001F2096">
        <w:rPr>
          <w:rFonts w:ascii="Arial" w:hAnsi="Arial" w:cs="Arial"/>
          <w:b/>
          <w:bCs/>
          <w:color w:val="003366"/>
          <w:sz w:val="26"/>
          <w:szCs w:val="26"/>
        </w:rPr>
        <w:t xml:space="preserve"> Padova (5), Venezia (4), Treviso (3) e Rovigo (2). Nessuna vittima nel bellunese.</w:t>
      </w:r>
    </w:p>
    <w:p w:rsidR="001F2096" w:rsidRPr="001F2096" w:rsidRDefault="001F2096" w:rsidP="001F2096">
      <w:pPr>
        <w:pStyle w:val="Nessunaspaziatura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“</w:t>
      </w:r>
      <w:r w:rsidRPr="001F2096">
        <w:rPr>
          <w:rFonts w:eastAsia="Times New Roman"/>
          <w:i/>
          <w:sz w:val="24"/>
          <w:szCs w:val="24"/>
        </w:rPr>
        <w:t>Finalmente un primo semestre con un segno “meno” per le vittime sul lavoro in Veneto. Da gennaio a giugno 2019, rispetto al 2018, sono diminuite co</w:t>
      </w:r>
      <w:r>
        <w:rPr>
          <w:rFonts w:eastAsia="Times New Roman"/>
          <w:i/>
          <w:sz w:val="24"/>
          <w:szCs w:val="24"/>
        </w:rPr>
        <w:t xml:space="preserve">mplessivamente del 34% </w:t>
      </w:r>
      <w:r w:rsidRPr="001F2096">
        <w:rPr>
          <w:rFonts w:eastAsia="Times New Roman"/>
          <w:i/>
          <w:sz w:val="24"/>
          <w:szCs w:val="24"/>
        </w:rPr>
        <w:t>e del 4</w:t>
      </w:r>
      <w:r>
        <w:rPr>
          <w:rFonts w:eastAsia="Times New Roman"/>
          <w:i/>
          <w:sz w:val="24"/>
          <w:szCs w:val="24"/>
        </w:rPr>
        <w:t>2% in occasione di lavoro.</w:t>
      </w:r>
      <w:r w:rsidRPr="001F2096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L</w:t>
      </w:r>
      <w:r w:rsidRPr="001F2096">
        <w:rPr>
          <w:rFonts w:eastAsia="Times New Roman"/>
          <w:i/>
          <w:sz w:val="24"/>
          <w:szCs w:val="24"/>
        </w:rPr>
        <w:t xml:space="preserve">’emergenza rimane </w:t>
      </w:r>
      <w:r>
        <w:rPr>
          <w:rFonts w:eastAsia="Times New Roman"/>
          <w:i/>
          <w:sz w:val="24"/>
          <w:szCs w:val="24"/>
        </w:rPr>
        <w:t>p</w:t>
      </w:r>
      <w:r w:rsidRPr="001F2096">
        <w:rPr>
          <w:rFonts w:eastAsia="Times New Roman"/>
          <w:i/>
          <w:sz w:val="24"/>
          <w:szCs w:val="24"/>
        </w:rPr>
        <w:t>erché sono 39 gli info</w:t>
      </w:r>
      <w:r>
        <w:rPr>
          <w:rFonts w:eastAsia="Times New Roman"/>
          <w:i/>
          <w:sz w:val="24"/>
          <w:szCs w:val="24"/>
        </w:rPr>
        <w:t>rtuni mortali totali sul lavoro</w:t>
      </w:r>
      <w:r w:rsidRPr="001F2096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e</w:t>
      </w:r>
      <w:r w:rsidRPr="001F2096">
        <w:rPr>
          <w:rFonts w:eastAsia="Times New Roman"/>
          <w:i/>
          <w:sz w:val="24"/>
          <w:szCs w:val="24"/>
        </w:rPr>
        <w:t xml:space="preserve"> la media della mortalità per i lavoratori rimane tragica con 6 decessi al mese nel 2019</w:t>
      </w:r>
      <w:r w:rsidRPr="001F2096">
        <w:rPr>
          <w:rFonts w:eastAsia="Times New Roman"/>
          <w:sz w:val="24"/>
          <w:szCs w:val="24"/>
        </w:rPr>
        <w:t>”.</w:t>
      </w:r>
    </w:p>
    <w:p w:rsidR="001F2096" w:rsidRP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Così apre la spiegazione dell’ultima indagine condotta dagli esperti dell’Osservatorio Sicurezza sul Lavoro Vega Engineering d</w:t>
      </w:r>
      <w:r>
        <w:rPr>
          <w:rFonts w:eastAsia="Times New Roman"/>
          <w:sz w:val="24"/>
          <w:szCs w:val="24"/>
        </w:rPr>
        <w:t>i Mestre, il suo Presidente, l’Ing.</w:t>
      </w:r>
      <w:r w:rsidRPr="001F2096">
        <w:rPr>
          <w:rFonts w:eastAsia="Times New Roman"/>
          <w:sz w:val="24"/>
          <w:szCs w:val="24"/>
        </w:rPr>
        <w:t xml:space="preserve"> Mauro Rossato.</w:t>
      </w:r>
    </w:p>
    <w:p w:rsidR="001F2096" w:rsidRP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Ed è proprio nell’analisi dei dati che emergono risultati davvero sconfortanti al di là del decremento del numero di decessi.</w:t>
      </w:r>
      <w:r>
        <w:rPr>
          <w:rFonts w:eastAsia="Times New Roman"/>
          <w:sz w:val="24"/>
          <w:szCs w:val="24"/>
        </w:rPr>
        <w:t xml:space="preserve"> Infatti</w:t>
      </w:r>
      <w:r w:rsidRPr="001F2096">
        <w:rPr>
          <w:rFonts w:eastAsia="Times New Roman"/>
          <w:sz w:val="24"/>
          <w:szCs w:val="24"/>
        </w:rPr>
        <w:t xml:space="preserve"> il Veneto continua ad essere tra le regioni in cui si conta il maggior numero di vittime dopo la Lombardia (72), il Lazio (50), l’</w:t>
      </w:r>
      <w:r>
        <w:rPr>
          <w:rFonts w:eastAsia="Times New Roman"/>
          <w:sz w:val="24"/>
          <w:szCs w:val="24"/>
        </w:rPr>
        <w:t>Emilia Romagna (44</w:t>
      </w:r>
      <w:r w:rsidRPr="001F209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la Sicilia e il Piemonte (41).</w:t>
      </w:r>
    </w:p>
    <w:p w:rsid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 xml:space="preserve">Ed è sempre tra le regioni più colpite considerando esclusivamente gli infortuni mortali avvenuti in occasione di lavoro. Una graduatoria guidata dalla Lombardia </w:t>
      </w:r>
      <w:r>
        <w:rPr>
          <w:rFonts w:eastAsia="Times New Roman"/>
          <w:sz w:val="24"/>
          <w:szCs w:val="24"/>
        </w:rPr>
        <w:t>(con 50 decessi);</w:t>
      </w:r>
      <w:r w:rsidRPr="001F2096">
        <w:rPr>
          <w:rFonts w:eastAsia="Times New Roman"/>
          <w:sz w:val="24"/>
          <w:szCs w:val="24"/>
        </w:rPr>
        <w:t xml:space="preserve"> al secondo posto troviamo il Lazio (37), al terzo la Campania (32). Seguono: Piemonte (30), Emilia Romagna (28), Sicilia (27) e</w:t>
      </w:r>
      <w:r>
        <w:rPr>
          <w:rFonts w:eastAsia="Times New Roman"/>
          <w:sz w:val="24"/>
          <w:szCs w:val="24"/>
        </w:rPr>
        <w:t>, appunto, il Veneto (22).</w:t>
      </w:r>
    </w:p>
    <w:p w:rsidR="001F2096" w:rsidRPr="001F2096" w:rsidRDefault="001F2096" w:rsidP="001F2096">
      <w:pPr>
        <w:pStyle w:val="stile1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Gli stranieri deceduti sul lavoro nel primo semestre 2019 sono 10.</w:t>
      </w:r>
    </w:p>
    <w:p w:rsidR="001F2096" w:rsidRP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Il maggior nu</w:t>
      </w:r>
      <w:r w:rsidR="00106776">
        <w:rPr>
          <w:rFonts w:eastAsia="Times New Roman"/>
          <w:sz w:val="24"/>
          <w:szCs w:val="24"/>
        </w:rPr>
        <w:t>mero di vittime a Verona (13), s</w:t>
      </w:r>
      <w:r w:rsidRPr="001F2096">
        <w:rPr>
          <w:rFonts w:eastAsia="Times New Roman"/>
          <w:sz w:val="24"/>
          <w:szCs w:val="24"/>
        </w:rPr>
        <w:t>eguita da Vicenza (12), Padova (5), Venezia (4), Treviso (3) e Rovigo (2). Nessuna vittima nel bellunese.</w:t>
      </w:r>
    </w:p>
    <w:p w:rsidR="001F2096" w:rsidRP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:rsid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lastRenderedPageBreak/>
        <w:t xml:space="preserve">Osservando, invece, la situazione degli infortuni mortali verificatisi in occasione di lavoro, a </w:t>
      </w:r>
      <w:r w:rsidR="00C17776">
        <w:rPr>
          <w:rFonts w:eastAsia="Times New Roman"/>
          <w:sz w:val="24"/>
          <w:szCs w:val="24"/>
        </w:rPr>
        <w:t>contare più morti è Vicenza (9)</w:t>
      </w:r>
      <w:bookmarkStart w:id="0" w:name="_GoBack"/>
      <w:bookmarkEnd w:id="0"/>
      <w:r w:rsidRPr="001F2096">
        <w:rPr>
          <w:rFonts w:eastAsia="Times New Roman"/>
          <w:sz w:val="24"/>
          <w:szCs w:val="24"/>
        </w:rPr>
        <w:t xml:space="preserve"> seguita da: Verona (7), Padova e Treviso (2), Rovigo e Venezia (1).</w:t>
      </w:r>
    </w:p>
    <w:p w:rsidR="001F2096" w:rsidRP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:rsidR="001F2096" w:rsidRPr="001F2096" w:rsidRDefault="001F2096" w:rsidP="001F2096">
      <w:pPr>
        <w:pStyle w:val="stile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 xml:space="preserve">Più della metà dei lavoratori deceduti aveva un’età compresa tra i 45 e i 59 anni. </w:t>
      </w:r>
    </w:p>
    <w:p w:rsidR="001F2096" w:rsidRPr="001F2096" w:rsidRDefault="001F2096" w:rsidP="001F2096">
      <w:pPr>
        <w:pStyle w:val="stile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1F2096">
        <w:rPr>
          <w:rFonts w:eastAsia="Times New Roman"/>
          <w:sz w:val="24"/>
          <w:szCs w:val="24"/>
        </w:rPr>
        <w:t>I settori più colpiti dal dramma sono: attività manifatturiere, costruzioni e trasporto e magazzinaggio.</w:t>
      </w:r>
    </w:p>
    <w:p w:rsidR="001F2096" w:rsidRDefault="001F2096" w:rsidP="0034265D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4265D" w:rsidRPr="007271CC" w:rsidRDefault="0034265D" w:rsidP="0034265D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71CC">
        <w:rPr>
          <w:rFonts w:ascii="Arial" w:hAnsi="Arial" w:cs="Arial"/>
          <w:sz w:val="24"/>
          <w:szCs w:val="24"/>
        </w:rPr>
        <w:t>Al fine di promuovere e diffondere la Cultura della Sicurezza sul Lavoro, ci auguriamo che il comunicato non solo sia un utile strumento di lavoro per Voi ma anche una fonte di riflessione e di analisi di fronte alla grave situazione che colpisce la nostra Penisola.</w:t>
      </w:r>
    </w:p>
    <w:p w:rsidR="001E1A7A" w:rsidRPr="007271CC" w:rsidRDefault="001E1A7A" w:rsidP="009206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06A1" w:rsidRPr="007271CC" w:rsidRDefault="009206A1" w:rsidP="009206A1">
      <w:pPr>
        <w:pStyle w:val="stile1"/>
        <w:rPr>
          <w:i/>
          <w:iCs/>
          <w:color w:val="000000"/>
          <w:sz w:val="24"/>
          <w:szCs w:val="24"/>
        </w:rPr>
      </w:pPr>
      <w:r w:rsidRPr="007271CC">
        <w:rPr>
          <w:rFonts w:eastAsia="Times New Roman"/>
          <w:color w:val="000000" w:themeColor="text1"/>
          <w:sz w:val="24"/>
          <w:szCs w:val="24"/>
        </w:rPr>
        <w:t>Informazioni per la stampa</w:t>
      </w:r>
      <w:r w:rsidRPr="007271CC">
        <w:rPr>
          <w:rFonts w:eastAsia="Times New Roman"/>
          <w:color w:val="000000" w:themeColor="text1"/>
          <w:sz w:val="24"/>
          <w:szCs w:val="24"/>
        </w:rPr>
        <w:br/>
        <w:t>Dott.ssa Annamaria Bacchin</w:t>
      </w:r>
      <w:r w:rsidRPr="007271CC">
        <w:rPr>
          <w:rFonts w:eastAsia="Times New Roman"/>
          <w:sz w:val="24"/>
          <w:szCs w:val="24"/>
        </w:rPr>
        <w:br/>
      </w:r>
      <w:proofErr w:type="spellStart"/>
      <w:r w:rsidRPr="007271CC">
        <w:rPr>
          <w:rFonts w:eastAsia="Times New Roman"/>
          <w:color w:val="000000" w:themeColor="text1"/>
          <w:sz w:val="24"/>
          <w:szCs w:val="24"/>
        </w:rPr>
        <w:t>Tel</w:t>
      </w:r>
      <w:proofErr w:type="spellEnd"/>
      <w:r w:rsidRPr="007271CC">
        <w:rPr>
          <w:rFonts w:eastAsia="Times New Roman"/>
          <w:color w:val="000000" w:themeColor="text1"/>
          <w:sz w:val="24"/>
          <w:szCs w:val="24"/>
        </w:rPr>
        <w:t xml:space="preserve"> 041-8472474 -</w:t>
      </w:r>
      <w:r w:rsidRPr="007271CC">
        <w:rPr>
          <w:i/>
          <w:iCs/>
          <w:color w:val="000000"/>
          <w:sz w:val="24"/>
          <w:szCs w:val="24"/>
        </w:rPr>
        <w:t xml:space="preserve"> </w:t>
      </w:r>
      <w:hyperlink r:id="rId8" w:history="1">
        <w:r w:rsidRPr="007271CC">
          <w:rPr>
            <w:rStyle w:val="Collegamentoipertestuale"/>
            <w:i/>
            <w:iCs/>
            <w:sz w:val="24"/>
            <w:szCs w:val="24"/>
          </w:rPr>
          <w:t>marketing@vegaengineering.com</w:t>
        </w:r>
      </w:hyperlink>
      <w:r w:rsidRPr="007271CC">
        <w:rPr>
          <w:i/>
          <w:iCs/>
          <w:color w:val="000000"/>
          <w:sz w:val="24"/>
          <w:szCs w:val="24"/>
        </w:rPr>
        <w:br/>
      </w:r>
      <w:r w:rsidRPr="007271CC">
        <w:rPr>
          <w:rFonts w:eastAsia="Times New Roman"/>
          <w:sz w:val="24"/>
          <w:szCs w:val="24"/>
        </w:rPr>
        <w:t>www.vegaengineering.com</w:t>
      </w:r>
    </w:p>
    <w:p w:rsidR="009206A1" w:rsidRPr="007271CC" w:rsidRDefault="009206A1" w:rsidP="009206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71CC">
        <w:rPr>
          <w:rFonts w:ascii="Arial" w:hAnsi="Arial" w:cs="Arial"/>
          <w:sz w:val="24"/>
          <w:szCs w:val="24"/>
        </w:rPr>
        <w:br/>
      </w:r>
    </w:p>
    <w:p w:rsidR="009206A1" w:rsidRPr="00344B67" w:rsidRDefault="009206A1" w:rsidP="009206A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462FA" w:rsidRPr="00B80D06" w:rsidRDefault="000462FA" w:rsidP="007A5B77">
      <w:pPr>
        <w:tabs>
          <w:tab w:val="left" w:pos="1455"/>
        </w:tabs>
        <w:rPr>
          <w:sz w:val="24"/>
          <w:szCs w:val="24"/>
        </w:rPr>
      </w:pPr>
    </w:p>
    <w:sectPr w:rsidR="000462FA" w:rsidRPr="00B80D06" w:rsidSect="00F12D61">
      <w:headerReference w:type="default" r:id="rId9"/>
      <w:footerReference w:type="even" r:id="rId10"/>
      <w:footerReference w:type="default" r:id="rId11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34" w:rsidRDefault="00670D34" w:rsidP="00DA4690">
      <w:r>
        <w:separator/>
      </w:r>
    </w:p>
  </w:endnote>
  <w:endnote w:type="continuationSeparator" w:id="0">
    <w:p w:rsidR="00670D34" w:rsidRDefault="00670D34" w:rsidP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104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9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9E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E19EF" w:rsidRDefault="007E19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F" w:rsidRDefault="00ED7BE4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7E19EF">
      <w:rPr>
        <w:rStyle w:val="Numeropagina"/>
      </w:rPr>
      <w:t>3</w:t>
    </w:r>
    <w:r>
      <w:rPr>
        <w:rStyle w:val="Numeropagina"/>
      </w:rPr>
      <w:fldChar w:fldCharType="end"/>
    </w:r>
  </w:p>
  <w:p w:rsidR="007E19EF" w:rsidRDefault="007E19E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:rsidR="007E19EF" w:rsidRDefault="007E19EF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:rsidR="007E19EF" w:rsidRPr="00D33685" w:rsidRDefault="007E19EF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:rsidR="007E19EF" w:rsidRPr="00D33685" w:rsidRDefault="00C17776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7E19EF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34" w:rsidRDefault="00670D34" w:rsidP="00DA4690">
      <w:r>
        <w:separator/>
      </w:r>
    </w:p>
  </w:footnote>
  <w:footnote w:type="continuationSeparator" w:id="0">
    <w:p w:rsidR="00670D34" w:rsidRDefault="00670D34" w:rsidP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7E19EF" w:rsidTr="00F12D61">
      <w:tc>
        <w:tcPr>
          <w:tcW w:w="4918" w:type="dxa"/>
        </w:tcPr>
        <w:p w:rsidR="007E19EF" w:rsidRPr="00974BDC" w:rsidRDefault="00FC68BA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9EF">
            <w:br/>
          </w:r>
        </w:p>
      </w:tc>
      <w:tc>
        <w:tcPr>
          <w:tcW w:w="4918" w:type="dxa"/>
        </w:tcPr>
        <w:p w:rsidR="007E19EF" w:rsidRPr="00CE1998" w:rsidRDefault="002C6CB8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</w:p>
      </w:tc>
    </w:tr>
  </w:tbl>
  <w:p w:rsidR="007E19EF" w:rsidRPr="00ED6AB2" w:rsidRDefault="007E19EF" w:rsidP="00F12D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47B9D"/>
    <w:multiLevelType w:val="multilevel"/>
    <w:tmpl w:val="7870ED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309DB"/>
    <w:multiLevelType w:val="multilevel"/>
    <w:tmpl w:val="7870E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AE"/>
    <w:rsid w:val="00005F72"/>
    <w:rsid w:val="000272F8"/>
    <w:rsid w:val="000462FA"/>
    <w:rsid w:val="000629F4"/>
    <w:rsid w:val="0008117A"/>
    <w:rsid w:val="000A611E"/>
    <w:rsid w:val="000F0E03"/>
    <w:rsid w:val="000F4FE2"/>
    <w:rsid w:val="000F5C9B"/>
    <w:rsid w:val="0010423A"/>
    <w:rsid w:val="00106776"/>
    <w:rsid w:val="00131642"/>
    <w:rsid w:val="0014392C"/>
    <w:rsid w:val="00146EEC"/>
    <w:rsid w:val="0016584C"/>
    <w:rsid w:val="001706C6"/>
    <w:rsid w:val="00191579"/>
    <w:rsid w:val="00195E1F"/>
    <w:rsid w:val="001963F0"/>
    <w:rsid w:val="001A1B8A"/>
    <w:rsid w:val="001C599E"/>
    <w:rsid w:val="001C631E"/>
    <w:rsid w:val="001D4DB0"/>
    <w:rsid w:val="001E1A7A"/>
    <w:rsid w:val="001E6D31"/>
    <w:rsid w:val="001E6DF3"/>
    <w:rsid w:val="001F2096"/>
    <w:rsid w:val="00207C97"/>
    <w:rsid w:val="002125C7"/>
    <w:rsid w:val="00234B46"/>
    <w:rsid w:val="002744A0"/>
    <w:rsid w:val="002A403A"/>
    <w:rsid w:val="002B6593"/>
    <w:rsid w:val="002C5C3E"/>
    <w:rsid w:val="002C6CB8"/>
    <w:rsid w:val="002D0F06"/>
    <w:rsid w:val="00307007"/>
    <w:rsid w:val="00323478"/>
    <w:rsid w:val="0032389D"/>
    <w:rsid w:val="0033653F"/>
    <w:rsid w:val="0034265D"/>
    <w:rsid w:val="003648C5"/>
    <w:rsid w:val="003660A4"/>
    <w:rsid w:val="00374A92"/>
    <w:rsid w:val="00383A19"/>
    <w:rsid w:val="00397B7B"/>
    <w:rsid w:val="003A473C"/>
    <w:rsid w:val="003B10F6"/>
    <w:rsid w:val="003D4B3E"/>
    <w:rsid w:val="003D5466"/>
    <w:rsid w:val="003D7FCA"/>
    <w:rsid w:val="003F5264"/>
    <w:rsid w:val="003F62C9"/>
    <w:rsid w:val="00414552"/>
    <w:rsid w:val="00427111"/>
    <w:rsid w:val="0043173A"/>
    <w:rsid w:val="00465BD9"/>
    <w:rsid w:val="00467FCE"/>
    <w:rsid w:val="00475639"/>
    <w:rsid w:val="00482811"/>
    <w:rsid w:val="0049602E"/>
    <w:rsid w:val="004D471E"/>
    <w:rsid w:val="005325CC"/>
    <w:rsid w:val="00535DE0"/>
    <w:rsid w:val="00541B84"/>
    <w:rsid w:val="00546D96"/>
    <w:rsid w:val="00577CAE"/>
    <w:rsid w:val="00594D89"/>
    <w:rsid w:val="005956BE"/>
    <w:rsid w:val="005C318D"/>
    <w:rsid w:val="005D19F2"/>
    <w:rsid w:val="005D5C12"/>
    <w:rsid w:val="005F2692"/>
    <w:rsid w:val="005F38D7"/>
    <w:rsid w:val="005F5B87"/>
    <w:rsid w:val="00607FAF"/>
    <w:rsid w:val="00621888"/>
    <w:rsid w:val="00634B3C"/>
    <w:rsid w:val="00637DD4"/>
    <w:rsid w:val="0065587A"/>
    <w:rsid w:val="00657F7A"/>
    <w:rsid w:val="006651D1"/>
    <w:rsid w:val="00670D34"/>
    <w:rsid w:val="0067608C"/>
    <w:rsid w:val="00685EDA"/>
    <w:rsid w:val="006D7877"/>
    <w:rsid w:val="006D79F1"/>
    <w:rsid w:val="006E47AA"/>
    <w:rsid w:val="006F7CDC"/>
    <w:rsid w:val="007053AE"/>
    <w:rsid w:val="00715460"/>
    <w:rsid w:val="007271CC"/>
    <w:rsid w:val="00735F54"/>
    <w:rsid w:val="00766D0F"/>
    <w:rsid w:val="00774DEE"/>
    <w:rsid w:val="00783A2C"/>
    <w:rsid w:val="0078595F"/>
    <w:rsid w:val="00790032"/>
    <w:rsid w:val="007911BD"/>
    <w:rsid w:val="007A5B77"/>
    <w:rsid w:val="007B0BAB"/>
    <w:rsid w:val="007C19E3"/>
    <w:rsid w:val="007C416F"/>
    <w:rsid w:val="007D026C"/>
    <w:rsid w:val="007D1442"/>
    <w:rsid w:val="007D4AB8"/>
    <w:rsid w:val="007E19EF"/>
    <w:rsid w:val="007E67EA"/>
    <w:rsid w:val="007F46B1"/>
    <w:rsid w:val="007F4F80"/>
    <w:rsid w:val="007F6B09"/>
    <w:rsid w:val="00801762"/>
    <w:rsid w:val="00811618"/>
    <w:rsid w:val="00837D69"/>
    <w:rsid w:val="0084643F"/>
    <w:rsid w:val="0086052B"/>
    <w:rsid w:val="00862E5A"/>
    <w:rsid w:val="008748D8"/>
    <w:rsid w:val="008A39FA"/>
    <w:rsid w:val="008C59FA"/>
    <w:rsid w:val="008E06F7"/>
    <w:rsid w:val="008E1184"/>
    <w:rsid w:val="009107AE"/>
    <w:rsid w:val="009206A1"/>
    <w:rsid w:val="00923227"/>
    <w:rsid w:val="00937047"/>
    <w:rsid w:val="00942C0E"/>
    <w:rsid w:val="00944C1C"/>
    <w:rsid w:val="00946F71"/>
    <w:rsid w:val="009A4B75"/>
    <w:rsid w:val="009E1F87"/>
    <w:rsid w:val="00A23C4C"/>
    <w:rsid w:val="00A241E4"/>
    <w:rsid w:val="00A37E58"/>
    <w:rsid w:val="00A56669"/>
    <w:rsid w:val="00A77430"/>
    <w:rsid w:val="00A82C98"/>
    <w:rsid w:val="00A95BC5"/>
    <w:rsid w:val="00AB0B6E"/>
    <w:rsid w:val="00AB7A5D"/>
    <w:rsid w:val="00AD2CB0"/>
    <w:rsid w:val="00AE7DC4"/>
    <w:rsid w:val="00B16D4E"/>
    <w:rsid w:val="00B33B05"/>
    <w:rsid w:val="00B515C3"/>
    <w:rsid w:val="00B65CFB"/>
    <w:rsid w:val="00B767BE"/>
    <w:rsid w:val="00B80D06"/>
    <w:rsid w:val="00BB619C"/>
    <w:rsid w:val="00BD51CA"/>
    <w:rsid w:val="00BD5DAF"/>
    <w:rsid w:val="00BD6E60"/>
    <w:rsid w:val="00C070A9"/>
    <w:rsid w:val="00C17776"/>
    <w:rsid w:val="00C31DBC"/>
    <w:rsid w:val="00C4200E"/>
    <w:rsid w:val="00C51344"/>
    <w:rsid w:val="00C5135A"/>
    <w:rsid w:val="00C7507F"/>
    <w:rsid w:val="00C75914"/>
    <w:rsid w:val="00C927D0"/>
    <w:rsid w:val="00CA186A"/>
    <w:rsid w:val="00CB77B4"/>
    <w:rsid w:val="00CC2F5A"/>
    <w:rsid w:val="00CF14B6"/>
    <w:rsid w:val="00D332B9"/>
    <w:rsid w:val="00D63F0C"/>
    <w:rsid w:val="00D70AB8"/>
    <w:rsid w:val="00D823DF"/>
    <w:rsid w:val="00D875DA"/>
    <w:rsid w:val="00D9072E"/>
    <w:rsid w:val="00D92A27"/>
    <w:rsid w:val="00DA4690"/>
    <w:rsid w:val="00DA56FA"/>
    <w:rsid w:val="00DB2128"/>
    <w:rsid w:val="00DC281A"/>
    <w:rsid w:val="00DC65A9"/>
    <w:rsid w:val="00DD53D4"/>
    <w:rsid w:val="00DE54C0"/>
    <w:rsid w:val="00DE7602"/>
    <w:rsid w:val="00E61731"/>
    <w:rsid w:val="00EA2D19"/>
    <w:rsid w:val="00EA36E6"/>
    <w:rsid w:val="00EC0B9E"/>
    <w:rsid w:val="00ED411D"/>
    <w:rsid w:val="00ED63C0"/>
    <w:rsid w:val="00ED7BE4"/>
    <w:rsid w:val="00EF009B"/>
    <w:rsid w:val="00EF6A5B"/>
    <w:rsid w:val="00F110CB"/>
    <w:rsid w:val="00F12D61"/>
    <w:rsid w:val="00F47604"/>
    <w:rsid w:val="00F52454"/>
    <w:rsid w:val="00FA5C9D"/>
    <w:rsid w:val="00FA63F8"/>
    <w:rsid w:val="00FB0344"/>
    <w:rsid w:val="00FB747E"/>
    <w:rsid w:val="00FC237D"/>
    <w:rsid w:val="00FC2564"/>
    <w:rsid w:val="00FC68BA"/>
    <w:rsid w:val="00FD1A6A"/>
    <w:rsid w:val="00FD4579"/>
    <w:rsid w:val="00FE1DC2"/>
    <w:rsid w:val="00FE461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DCED30D-4EB3-4662-8A7A-1FB8BA4E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CA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577CAE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7CAE"/>
  </w:style>
  <w:style w:type="paragraph" w:styleId="Intestazione">
    <w:name w:val="header"/>
    <w:basedOn w:val="Normale"/>
    <w:link w:val="IntestazioneCarattere"/>
    <w:rsid w:val="0057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C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7CAE"/>
    <w:rPr>
      <w:color w:val="0000FF"/>
      <w:u w:val="single"/>
    </w:rPr>
  </w:style>
  <w:style w:type="paragraph" w:customStyle="1" w:styleId="stile1">
    <w:name w:val="stile1"/>
    <w:basedOn w:val="Normale"/>
    <w:rsid w:val="00577CAE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CB8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17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A40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egaengineer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86EE-74E3-447D-A883-D4481030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baretta</dc:creator>
  <cp:lastModifiedBy>Giorgia Baretta - Gruppo Vega</cp:lastModifiedBy>
  <cp:revision>54</cp:revision>
  <cp:lastPrinted>2019-06-04T08:09:00Z</cp:lastPrinted>
  <dcterms:created xsi:type="dcterms:W3CDTF">2018-09-28T08:29:00Z</dcterms:created>
  <dcterms:modified xsi:type="dcterms:W3CDTF">2019-07-31T10:22:00Z</dcterms:modified>
</cp:coreProperties>
</file>