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A7" w:rsidRPr="00FE5D00" w:rsidRDefault="00956852" w:rsidP="00FE5D00">
      <w:pPr>
        <w:pStyle w:val="Nessunaspaziatura"/>
        <w:spacing w:line="276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IN </w:t>
      </w:r>
      <w:r w:rsidR="00D1679B" w:rsidRPr="00FE5D00">
        <w:rPr>
          <w:rFonts w:ascii="Arial" w:hAnsi="Arial" w:cs="Arial"/>
          <w:b/>
          <w:color w:val="1F497D" w:themeColor="text2"/>
          <w:sz w:val="32"/>
          <w:szCs w:val="32"/>
        </w:rPr>
        <w:t>FRIULI VENEZIA GIULIA</w:t>
      </w:r>
      <w:r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010D77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IL LAVORO </w:t>
      </w:r>
      <w:r w:rsidR="0072459F" w:rsidRPr="00FE5D00">
        <w:rPr>
          <w:rFonts w:ascii="Arial" w:hAnsi="Arial" w:cs="Arial"/>
          <w:b/>
          <w:color w:val="1F497D" w:themeColor="text2"/>
          <w:sz w:val="32"/>
          <w:szCs w:val="32"/>
        </w:rPr>
        <w:t>CONTINUA A MIETERE VITTIME. SONO</w:t>
      </w:r>
      <w:r w:rsidR="009A1802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D1679B" w:rsidRPr="00FE5D00">
        <w:rPr>
          <w:rFonts w:ascii="Arial" w:hAnsi="Arial" w:cs="Arial"/>
          <w:b/>
          <w:color w:val="1F497D" w:themeColor="text2"/>
          <w:sz w:val="32"/>
          <w:szCs w:val="32"/>
        </w:rPr>
        <w:t>2</w:t>
      </w:r>
      <w:r w:rsidR="00010D77" w:rsidRPr="00FE5D00">
        <w:rPr>
          <w:rFonts w:ascii="Arial" w:hAnsi="Arial" w:cs="Arial"/>
          <w:b/>
          <w:color w:val="1F497D" w:themeColor="text2"/>
          <w:sz w:val="32"/>
          <w:szCs w:val="32"/>
        </w:rPr>
        <w:t>9</w:t>
      </w:r>
      <w:r w:rsidR="009A1802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72459F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LE </w:t>
      </w:r>
      <w:r w:rsidR="009A1802" w:rsidRPr="00FE5D00">
        <w:rPr>
          <w:rFonts w:ascii="Arial" w:hAnsi="Arial" w:cs="Arial"/>
          <w:b/>
          <w:color w:val="1F497D" w:themeColor="text2"/>
          <w:sz w:val="32"/>
          <w:szCs w:val="32"/>
        </w:rPr>
        <w:t>PERSONE</w:t>
      </w:r>
      <w:r w:rsidR="0072459F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CHE HANNO PERSO LA VITA</w:t>
      </w:r>
      <w:r w:rsidR="000D36E7">
        <w:rPr>
          <w:rFonts w:ascii="Arial" w:hAnsi="Arial" w:cs="Arial"/>
          <w:b/>
          <w:color w:val="1F497D" w:themeColor="text2"/>
          <w:sz w:val="32"/>
          <w:szCs w:val="32"/>
        </w:rPr>
        <w:t xml:space="preserve"> NEL 2018 (+</w:t>
      </w:r>
      <w:r w:rsidR="00FE5D00">
        <w:rPr>
          <w:rFonts w:ascii="Arial" w:hAnsi="Arial" w:cs="Arial"/>
          <w:b/>
          <w:color w:val="1F497D" w:themeColor="text2"/>
          <w:sz w:val="32"/>
          <w:szCs w:val="32"/>
        </w:rPr>
        <w:t>12</w:t>
      </w:r>
      <w:r w:rsidR="0072459F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% RISPETTO AL 2017).</w:t>
      </w:r>
    </w:p>
    <w:p w:rsidR="008B46A7" w:rsidRPr="00FE5D00" w:rsidRDefault="00010D77" w:rsidP="00FE5D00">
      <w:pPr>
        <w:pStyle w:val="Nessunaspaziatura"/>
        <w:spacing w:line="276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E5D00">
        <w:rPr>
          <w:rFonts w:ascii="Arial" w:hAnsi="Arial" w:cs="Arial"/>
          <w:b/>
          <w:color w:val="1F497D" w:themeColor="text2"/>
          <w:sz w:val="32"/>
          <w:szCs w:val="32"/>
        </w:rPr>
        <w:t>SECONDA REGIONE DEL NORD</w:t>
      </w:r>
      <w:r w:rsidR="004750EA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011EA9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- </w:t>
      </w:r>
      <w:r w:rsidR="004750EA" w:rsidRPr="00FE5D00">
        <w:rPr>
          <w:rFonts w:ascii="Arial" w:hAnsi="Arial" w:cs="Arial"/>
          <w:b/>
          <w:color w:val="1F497D" w:themeColor="text2"/>
          <w:sz w:val="32"/>
          <w:szCs w:val="32"/>
        </w:rPr>
        <w:t>E QUINTA IN ITALIA</w:t>
      </w:r>
      <w:r w:rsidR="00011EA9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-</w:t>
      </w:r>
      <w:r w:rsid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D1679B" w:rsidRPr="00FE5D00">
        <w:rPr>
          <w:rFonts w:ascii="Arial" w:hAnsi="Arial" w:cs="Arial"/>
          <w:b/>
          <w:color w:val="1F497D" w:themeColor="text2"/>
          <w:sz w:val="32"/>
          <w:szCs w:val="32"/>
        </w:rPr>
        <w:t>PER INCIDENZA DELLA MORTALITA’ SULLA POPOLAZIONE LAVORATIVA.</w:t>
      </w:r>
    </w:p>
    <w:p w:rsidR="009A1802" w:rsidRDefault="009A1802" w:rsidP="00FE5D00">
      <w:pPr>
        <w:pStyle w:val="Nessunaspaziatura"/>
        <w:spacing w:line="276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SONO </w:t>
      </w:r>
      <w:r w:rsidR="00010D77" w:rsidRPr="00FE5D00">
        <w:rPr>
          <w:rFonts w:ascii="Arial" w:hAnsi="Arial" w:cs="Arial"/>
          <w:b/>
          <w:color w:val="1F497D" w:themeColor="text2"/>
          <w:sz w:val="32"/>
          <w:szCs w:val="32"/>
        </w:rPr>
        <w:t>24</w:t>
      </w:r>
      <w:r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LE VITTIME RILEVATE IN OCCASIONE DI LAVORO,</w:t>
      </w:r>
      <w:r w:rsidR="00010D77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ERANO 21 NEL 2017</w:t>
      </w:r>
      <w:r w:rsidR="00E97902">
        <w:rPr>
          <w:rFonts w:ascii="Arial" w:hAnsi="Arial" w:cs="Arial"/>
          <w:b/>
          <w:color w:val="1F497D" w:themeColor="text2"/>
          <w:sz w:val="32"/>
          <w:szCs w:val="32"/>
        </w:rPr>
        <w:t xml:space="preserve"> (+14%), MENTRE</w:t>
      </w:r>
      <w:r w:rsidR="00010D77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SONO 5</w:t>
      </w:r>
      <w:r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010D77" w:rsidRPr="00FE5D00">
        <w:rPr>
          <w:rFonts w:ascii="Arial" w:hAnsi="Arial" w:cs="Arial"/>
          <w:b/>
          <w:color w:val="1F497D" w:themeColor="text2"/>
          <w:sz w:val="32"/>
          <w:szCs w:val="32"/>
        </w:rPr>
        <w:t xml:space="preserve">GLI INFORTUNI </w:t>
      </w:r>
      <w:r w:rsidRPr="00FE5D00">
        <w:rPr>
          <w:rFonts w:ascii="Arial" w:hAnsi="Arial" w:cs="Arial"/>
          <w:b/>
          <w:color w:val="1F497D" w:themeColor="text2"/>
          <w:sz w:val="32"/>
          <w:szCs w:val="32"/>
        </w:rPr>
        <w:t>IN ITINERE.</w:t>
      </w:r>
    </w:p>
    <w:p w:rsidR="00FE5D00" w:rsidRPr="00FE5D00" w:rsidRDefault="00FE5D00" w:rsidP="00FE5D00">
      <w:pPr>
        <w:pStyle w:val="Nessunaspaziatura"/>
        <w:spacing w:line="276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F91CBF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A </w:t>
      </w:r>
      <w:r w:rsidR="00010D77" w:rsidRPr="00FE5D00">
        <w:rPr>
          <w:rFonts w:ascii="Arial" w:hAnsi="Arial" w:cs="Arial"/>
          <w:b/>
          <w:color w:val="1F497D" w:themeColor="text2"/>
          <w:sz w:val="28"/>
          <w:szCs w:val="28"/>
        </w:rPr>
        <w:t>Udine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sono </w:t>
      </w:r>
      <w:r w:rsidR="00010D77" w:rsidRPr="00FE5D00">
        <w:rPr>
          <w:rFonts w:ascii="Arial" w:hAnsi="Arial" w:cs="Arial"/>
          <w:b/>
          <w:color w:val="1F497D" w:themeColor="text2"/>
          <w:sz w:val="28"/>
          <w:szCs w:val="28"/>
        </w:rPr>
        <w:t>1</w:t>
      </w:r>
      <w:r w:rsidR="00646358" w:rsidRPr="00FE5D00">
        <w:rPr>
          <w:rFonts w:ascii="Arial" w:hAnsi="Arial" w:cs="Arial"/>
          <w:b/>
          <w:color w:val="1F497D" w:themeColor="text2"/>
          <w:sz w:val="28"/>
          <w:szCs w:val="28"/>
        </w:rPr>
        <w:t>7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gli infortuni mortali. A </w:t>
      </w:r>
      <w:r w:rsidR="00FE5D00" w:rsidRPr="00FE5D00">
        <w:rPr>
          <w:rFonts w:ascii="Arial" w:hAnsi="Arial" w:cs="Arial"/>
          <w:b/>
          <w:color w:val="1F497D" w:themeColor="text2"/>
          <w:sz w:val="28"/>
          <w:szCs w:val="28"/>
        </w:rPr>
        <w:t>Pordenone 6</w:t>
      </w:r>
      <w:r w:rsid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, </w:t>
      </w:r>
      <w:r w:rsidR="00B842CF">
        <w:rPr>
          <w:rFonts w:ascii="Arial" w:hAnsi="Arial" w:cs="Arial"/>
          <w:b/>
          <w:color w:val="1F497D" w:themeColor="text2"/>
          <w:sz w:val="28"/>
          <w:szCs w:val="28"/>
        </w:rPr>
        <w:t xml:space="preserve">a </w:t>
      </w:r>
      <w:r w:rsidR="00010D77" w:rsidRPr="00FE5D00">
        <w:rPr>
          <w:rFonts w:ascii="Arial" w:hAnsi="Arial" w:cs="Arial"/>
          <w:b/>
          <w:color w:val="1F497D" w:themeColor="text2"/>
          <w:sz w:val="28"/>
          <w:szCs w:val="28"/>
        </w:rPr>
        <w:t>Gorizia</w:t>
      </w:r>
      <w:r w:rsid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010D77" w:rsidRPr="00FE5D00">
        <w:rPr>
          <w:rFonts w:ascii="Arial" w:hAnsi="Arial" w:cs="Arial"/>
          <w:b/>
          <w:color w:val="1F497D" w:themeColor="text2"/>
          <w:sz w:val="28"/>
          <w:szCs w:val="28"/>
        </w:rPr>
        <w:t>4</w:t>
      </w:r>
      <w:r w:rsidR="009145D5">
        <w:rPr>
          <w:rFonts w:ascii="Arial" w:hAnsi="Arial" w:cs="Arial"/>
          <w:b/>
          <w:color w:val="1F497D" w:themeColor="text2"/>
          <w:sz w:val="28"/>
          <w:szCs w:val="28"/>
        </w:rPr>
        <w:t xml:space="preserve"> e</w:t>
      </w:r>
      <w:r w:rsid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010D77"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a Trieste </w:t>
      </w:r>
      <w:r w:rsidR="00646358" w:rsidRPr="00FE5D00">
        <w:rPr>
          <w:rFonts w:ascii="Arial" w:hAnsi="Arial" w:cs="Arial"/>
          <w:b/>
          <w:color w:val="1F497D" w:themeColor="text2"/>
          <w:sz w:val="28"/>
          <w:szCs w:val="28"/>
        </w:rPr>
        <w:t>2</w:t>
      </w:r>
      <w:r w:rsidR="00010D77"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. 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Ed è sempre </w:t>
      </w:r>
      <w:r w:rsidR="0072459F" w:rsidRPr="00FE5D00">
        <w:rPr>
          <w:rFonts w:ascii="Arial" w:hAnsi="Arial" w:cs="Arial"/>
          <w:b/>
          <w:color w:val="1F497D" w:themeColor="text2"/>
          <w:sz w:val="28"/>
          <w:szCs w:val="28"/>
        </w:rPr>
        <w:t>Udine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a </w:t>
      </w:r>
      <w:r w:rsidR="00E665C2"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guidare 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la </w:t>
      </w:r>
      <w:r w:rsidR="00E665C2" w:rsidRPr="00FE5D00">
        <w:rPr>
          <w:rFonts w:ascii="Arial" w:hAnsi="Arial" w:cs="Arial"/>
          <w:b/>
          <w:color w:val="1F497D" w:themeColor="text2"/>
          <w:sz w:val="28"/>
          <w:szCs w:val="28"/>
        </w:rPr>
        <w:t>classifica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anche per numero di vittime in occasione di lavoro</w:t>
      </w:r>
      <w:r w:rsidR="00E665C2" w:rsidRPr="00FE5D00">
        <w:rPr>
          <w:rFonts w:ascii="Arial" w:hAnsi="Arial" w:cs="Arial"/>
          <w:b/>
          <w:color w:val="1F497D" w:themeColor="text2"/>
          <w:sz w:val="28"/>
          <w:szCs w:val="28"/>
        </w:rPr>
        <w:t>: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1</w:t>
      </w:r>
      <w:r w:rsidR="0072459F" w:rsidRPr="00FE5D00">
        <w:rPr>
          <w:rFonts w:ascii="Arial" w:hAnsi="Arial" w:cs="Arial"/>
          <w:b/>
          <w:color w:val="1F497D" w:themeColor="text2"/>
          <w:sz w:val="28"/>
          <w:szCs w:val="28"/>
        </w:rPr>
        <w:t>6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i decessi. Seguono</w:t>
      </w:r>
      <w:r w:rsidR="0072459F" w:rsidRPr="00FE5D00">
        <w:rPr>
          <w:rFonts w:ascii="Arial" w:hAnsi="Arial" w:cs="Arial"/>
          <w:b/>
          <w:color w:val="1F497D" w:themeColor="text2"/>
          <w:sz w:val="28"/>
          <w:szCs w:val="28"/>
        </w:rPr>
        <w:t>:</w:t>
      </w:r>
      <w:r w:rsidR="00646358"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Gorizia </w:t>
      </w:r>
      <w:r w:rsidR="00FE5D00">
        <w:rPr>
          <w:rFonts w:ascii="Arial" w:hAnsi="Arial" w:cs="Arial"/>
          <w:b/>
          <w:color w:val="1F497D" w:themeColor="text2"/>
          <w:sz w:val="28"/>
          <w:szCs w:val="28"/>
        </w:rPr>
        <w:t>(</w:t>
      </w:r>
      <w:r w:rsidR="00646358" w:rsidRPr="00FE5D00">
        <w:rPr>
          <w:rFonts w:ascii="Arial" w:hAnsi="Arial" w:cs="Arial"/>
          <w:b/>
          <w:color w:val="1F497D" w:themeColor="text2"/>
          <w:sz w:val="28"/>
          <w:szCs w:val="28"/>
        </w:rPr>
        <w:t>4</w:t>
      </w:r>
      <w:r w:rsidR="00FE5D00">
        <w:rPr>
          <w:rFonts w:ascii="Arial" w:hAnsi="Arial" w:cs="Arial"/>
          <w:b/>
          <w:color w:val="1F497D" w:themeColor="text2"/>
          <w:sz w:val="28"/>
          <w:szCs w:val="28"/>
        </w:rPr>
        <w:t>),</w:t>
      </w:r>
      <w:r w:rsidR="00646358"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Pordenone </w:t>
      </w:r>
      <w:r w:rsidR="00FE5D00">
        <w:rPr>
          <w:rFonts w:ascii="Arial" w:hAnsi="Arial" w:cs="Arial"/>
          <w:b/>
          <w:color w:val="1F497D" w:themeColor="text2"/>
          <w:sz w:val="28"/>
          <w:szCs w:val="28"/>
        </w:rPr>
        <w:t>(</w:t>
      </w:r>
      <w:r w:rsidR="0072459F" w:rsidRPr="00FE5D00">
        <w:rPr>
          <w:rFonts w:ascii="Arial" w:hAnsi="Arial" w:cs="Arial"/>
          <w:b/>
          <w:color w:val="1F497D" w:themeColor="text2"/>
          <w:sz w:val="28"/>
          <w:szCs w:val="28"/>
        </w:rPr>
        <w:t>3</w:t>
      </w:r>
      <w:r w:rsidR="00FE5D00">
        <w:rPr>
          <w:rFonts w:ascii="Arial" w:hAnsi="Arial" w:cs="Arial"/>
          <w:b/>
          <w:color w:val="1F497D" w:themeColor="text2"/>
          <w:sz w:val="28"/>
          <w:szCs w:val="28"/>
        </w:rPr>
        <w:t>) e</w:t>
      </w:r>
      <w:r w:rsidR="00646358"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 Trieste (</w:t>
      </w:r>
      <w:r w:rsidR="0072459F" w:rsidRPr="00FE5D00">
        <w:rPr>
          <w:rFonts w:ascii="Arial" w:hAnsi="Arial" w:cs="Arial"/>
          <w:b/>
          <w:color w:val="1F497D" w:themeColor="text2"/>
          <w:sz w:val="28"/>
          <w:szCs w:val="28"/>
        </w:rPr>
        <w:t>1</w:t>
      </w:r>
      <w:r w:rsidR="00646358"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). </w:t>
      </w:r>
    </w:p>
    <w:p w:rsidR="00646358" w:rsidRPr="00FE5D00" w:rsidRDefault="0025081B" w:rsidP="00FE5D00">
      <w:pPr>
        <w:pStyle w:val="Nessunaspaziatura"/>
        <w:spacing w:line="276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 xml:space="preserve">Si aggrava anche il bilancio degli infortuni non mortali: passati da 16.595 </w:t>
      </w:r>
      <w:r w:rsidR="00FE5D00">
        <w:rPr>
          <w:rFonts w:ascii="Arial" w:hAnsi="Arial" w:cs="Arial"/>
          <w:b/>
          <w:color w:val="1F497D" w:themeColor="text2"/>
          <w:sz w:val="28"/>
          <w:szCs w:val="28"/>
        </w:rPr>
        <w:t>nel 2017 a 17.246 nel 2018</w:t>
      </w:r>
      <w:r w:rsidR="000D36E7">
        <w:rPr>
          <w:rFonts w:ascii="Arial" w:hAnsi="Arial" w:cs="Arial"/>
          <w:b/>
          <w:color w:val="1F497D" w:themeColor="text2"/>
          <w:sz w:val="28"/>
          <w:szCs w:val="28"/>
        </w:rPr>
        <w:t>.</w:t>
      </w:r>
      <w:r w:rsidRPr="00FE5D00">
        <w:rPr>
          <w:rFonts w:ascii="Arial" w:hAnsi="Arial" w:cs="Arial"/>
          <w:b/>
          <w:color w:val="1F497D" w:themeColor="text2"/>
          <w:sz w:val="28"/>
          <w:szCs w:val="28"/>
        </w:rPr>
        <w:t> </w:t>
      </w:r>
    </w:p>
    <w:p w:rsidR="0098131C" w:rsidRDefault="0098131C" w:rsidP="009A1802">
      <w:pPr>
        <w:pStyle w:val="Nessunaspaziatura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FE5D00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5D00">
        <w:rPr>
          <w:rFonts w:ascii="Arial" w:hAnsi="Arial" w:cs="Arial"/>
          <w:sz w:val="26"/>
          <w:szCs w:val="26"/>
        </w:rPr>
        <w:t>“</w:t>
      </w:r>
      <w:r w:rsidR="00B92257" w:rsidRPr="00FE5D00">
        <w:rPr>
          <w:rFonts w:ascii="Arial" w:hAnsi="Arial" w:cs="Arial"/>
          <w:i/>
          <w:iCs/>
          <w:sz w:val="26"/>
          <w:szCs w:val="26"/>
        </w:rPr>
        <w:t>Anche in Friuli Venezia Giulia l’emergenza morti bianche non</w:t>
      </w:r>
      <w:r w:rsidR="00011EA9" w:rsidRPr="00FE5D00">
        <w:rPr>
          <w:rFonts w:ascii="Arial" w:hAnsi="Arial" w:cs="Arial"/>
          <w:i/>
          <w:iCs/>
          <w:sz w:val="26"/>
          <w:szCs w:val="26"/>
        </w:rPr>
        <w:t xml:space="preserve"> </w:t>
      </w:r>
      <w:r w:rsidR="00B92257" w:rsidRPr="00FE5D00">
        <w:rPr>
          <w:rFonts w:ascii="Arial" w:hAnsi="Arial" w:cs="Arial"/>
          <w:i/>
          <w:iCs/>
          <w:sz w:val="26"/>
          <w:szCs w:val="26"/>
        </w:rPr>
        <w:t>accenna a migliorare.</w:t>
      </w:r>
      <w:r w:rsidR="00FE5D00">
        <w:rPr>
          <w:rFonts w:ascii="Arial" w:hAnsi="Arial" w:cs="Arial"/>
          <w:i/>
          <w:iCs/>
          <w:sz w:val="26"/>
          <w:szCs w:val="26"/>
        </w:rPr>
        <w:t xml:space="preserve"> Anzi peggiora. E cresce del 14% </w:t>
      </w:r>
      <w:r w:rsidR="00B92257" w:rsidRPr="00FE5D00">
        <w:rPr>
          <w:rFonts w:ascii="Arial" w:hAnsi="Arial" w:cs="Arial"/>
          <w:i/>
          <w:iCs/>
          <w:sz w:val="26"/>
          <w:szCs w:val="26"/>
        </w:rPr>
        <w:t>la mortalità in occasione di lavoro</w:t>
      </w:r>
      <w:r w:rsidRPr="00FE5D00">
        <w:rPr>
          <w:rFonts w:ascii="Arial" w:hAnsi="Arial" w:cs="Arial"/>
          <w:sz w:val="26"/>
          <w:szCs w:val="26"/>
        </w:rPr>
        <w:t>”.</w:t>
      </w:r>
    </w:p>
    <w:p w:rsidR="00FE5D00" w:rsidRDefault="00FE5D00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E5D00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5D00">
        <w:rPr>
          <w:rFonts w:ascii="Arial" w:hAnsi="Arial" w:cs="Arial"/>
          <w:sz w:val="26"/>
          <w:szCs w:val="26"/>
        </w:rPr>
        <w:t xml:space="preserve">Mauro Rossato, Presidente dell’Osservatorio Sicurezza sul Lavoro Vega, </w:t>
      </w:r>
      <w:r w:rsidR="00011EA9" w:rsidRPr="00FE5D00">
        <w:rPr>
          <w:rFonts w:ascii="Arial" w:hAnsi="Arial" w:cs="Arial"/>
          <w:sz w:val="26"/>
          <w:szCs w:val="26"/>
        </w:rPr>
        <w:t xml:space="preserve">inizia così l’analisi dell’emergenza delle morti bianche in Friuli Venezia Giulia </w:t>
      </w:r>
      <w:r w:rsidRPr="00FE5D00">
        <w:rPr>
          <w:rFonts w:ascii="Arial" w:hAnsi="Arial" w:cs="Arial"/>
          <w:sz w:val="26"/>
          <w:szCs w:val="26"/>
        </w:rPr>
        <w:t>sulla base degli ultimi dati INAIL.</w:t>
      </w:r>
    </w:p>
    <w:p w:rsidR="00FE5D00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5D00">
        <w:rPr>
          <w:rFonts w:ascii="Arial" w:hAnsi="Arial" w:cs="Arial"/>
          <w:sz w:val="26"/>
          <w:szCs w:val="26"/>
        </w:rPr>
        <w:br/>
      </w:r>
      <w:r w:rsidR="00011EA9" w:rsidRPr="00FE5D00">
        <w:rPr>
          <w:rFonts w:ascii="Arial" w:hAnsi="Arial" w:cs="Arial"/>
          <w:sz w:val="26"/>
          <w:szCs w:val="26"/>
        </w:rPr>
        <w:t>Un’elaborazione sconfortante per l’estremo Nordest del Paese, s</w:t>
      </w:r>
      <w:r w:rsidRPr="00FE5D00">
        <w:rPr>
          <w:rFonts w:ascii="Arial" w:hAnsi="Arial" w:cs="Arial"/>
          <w:sz w:val="26"/>
          <w:szCs w:val="26"/>
        </w:rPr>
        <w:t xml:space="preserve">oprattutto quando nell'elaborazione dell’Osservatorio Sicurezza Vega si scopre </w:t>
      </w:r>
      <w:r w:rsidR="00F30038" w:rsidRPr="00FE5D00">
        <w:rPr>
          <w:rFonts w:ascii="Arial" w:hAnsi="Arial" w:cs="Arial"/>
          <w:sz w:val="26"/>
          <w:szCs w:val="26"/>
        </w:rPr>
        <w:t>che delle 29 vittime</w:t>
      </w:r>
      <w:r w:rsidRPr="00FE5D00">
        <w:rPr>
          <w:rFonts w:ascii="Arial" w:hAnsi="Arial" w:cs="Arial"/>
          <w:sz w:val="26"/>
          <w:szCs w:val="26"/>
        </w:rPr>
        <w:t xml:space="preserve">, sono </w:t>
      </w:r>
      <w:r w:rsidR="005B2BA9" w:rsidRPr="00FE5D00">
        <w:rPr>
          <w:rFonts w:ascii="Arial" w:hAnsi="Arial" w:cs="Arial"/>
          <w:sz w:val="26"/>
          <w:szCs w:val="26"/>
        </w:rPr>
        <w:t xml:space="preserve">addirittura </w:t>
      </w:r>
      <w:r w:rsidR="001212D7" w:rsidRPr="00FE5D00">
        <w:rPr>
          <w:rFonts w:ascii="Arial" w:hAnsi="Arial" w:cs="Arial"/>
          <w:sz w:val="26"/>
          <w:szCs w:val="26"/>
        </w:rPr>
        <w:t>24</w:t>
      </w:r>
      <w:r w:rsidR="005B2BA9" w:rsidRPr="00FE5D00">
        <w:rPr>
          <w:rFonts w:ascii="Arial" w:hAnsi="Arial" w:cs="Arial"/>
          <w:sz w:val="26"/>
          <w:szCs w:val="26"/>
        </w:rPr>
        <w:t xml:space="preserve"> </w:t>
      </w:r>
      <w:r w:rsidR="00F30038" w:rsidRPr="00FE5D00">
        <w:rPr>
          <w:rFonts w:ascii="Arial" w:hAnsi="Arial" w:cs="Arial"/>
          <w:sz w:val="26"/>
          <w:szCs w:val="26"/>
        </w:rPr>
        <w:t>quelle</w:t>
      </w:r>
      <w:r w:rsidRPr="00FE5D00">
        <w:rPr>
          <w:rFonts w:ascii="Arial" w:hAnsi="Arial" w:cs="Arial"/>
          <w:sz w:val="26"/>
          <w:szCs w:val="26"/>
        </w:rPr>
        <w:t xml:space="preserve"> regis</w:t>
      </w:r>
      <w:r w:rsidR="005B2BA9" w:rsidRPr="00FE5D00">
        <w:rPr>
          <w:rFonts w:ascii="Arial" w:hAnsi="Arial" w:cs="Arial"/>
          <w:sz w:val="26"/>
          <w:szCs w:val="26"/>
        </w:rPr>
        <w:t>trate in occasione di lavoro</w:t>
      </w:r>
      <w:r w:rsidRPr="00FE5D00">
        <w:rPr>
          <w:rFonts w:ascii="Arial" w:hAnsi="Arial" w:cs="Arial"/>
          <w:sz w:val="26"/>
          <w:szCs w:val="26"/>
        </w:rPr>
        <w:t xml:space="preserve">. Una media di </w:t>
      </w:r>
      <w:r w:rsidR="001212D7" w:rsidRPr="00FE5D00">
        <w:rPr>
          <w:rFonts w:ascii="Arial" w:hAnsi="Arial" w:cs="Arial"/>
          <w:sz w:val="26"/>
          <w:szCs w:val="26"/>
        </w:rPr>
        <w:t>2</w:t>
      </w:r>
      <w:r w:rsidR="00FE5D00">
        <w:rPr>
          <w:rFonts w:ascii="Arial" w:hAnsi="Arial" w:cs="Arial"/>
          <w:sz w:val="26"/>
          <w:szCs w:val="26"/>
        </w:rPr>
        <w:t xml:space="preserve"> decessi al </w:t>
      </w:r>
      <w:r w:rsidRPr="00FE5D00">
        <w:rPr>
          <w:rFonts w:ascii="Arial" w:hAnsi="Arial" w:cs="Arial"/>
          <w:sz w:val="26"/>
          <w:szCs w:val="26"/>
        </w:rPr>
        <w:t xml:space="preserve">mese. </w:t>
      </w:r>
    </w:p>
    <w:p w:rsidR="00011EA9" w:rsidRPr="00FE5D00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FE5D00">
        <w:rPr>
          <w:rFonts w:ascii="Arial" w:hAnsi="Arial" w:cs="Arial"/>
          <w:sz w:val="26"/>
          <w:szCs w:val="26"/>
        </w:rPr>
        <w:br/>
      </w:r>
      <w:r w:rsidRPr="00FE5D00">
        <w:rPr>
          <w:rFonts w:ascii="Arial" w:hAnsi="Arial" w:cs="Arial"/>
          <w:i/>
          <w:iCs/>
          <w:sz w:val="26"/>
          <w:szCs w:val="26"/>
        </w:rPr>
        <w:t>“</w:t>
      </w:r>
      <w:r w:rsidR="00011EA9" w:rsidRPr="00FE5D00">
        <w:rPr>
          <w:rFonts w:ascii="Arial" w:hAnsi="Arial" w:cs="Arial"/>
          <w:i/>
          <w:iCs/>
          <w:sz w:val="26"/>
          <w:szCs w:val="26"/>
        </w:rPr>
        <w:t xml:space="preserve">Numeri di una tragedia che dovrebbero indurre tutti i datori ad una seria riflessione </w:t>
      </w:r>
      <w:r w:rsidR="00B61C59" w:rsidRPr="00FE5D00">
        <w:rPr>
          <w:rFonts w:ascii="Arial" w:hAnsi="Arial" w:cs="Arial"/>
          <w:i/>
          <w:iCs/>
          <w:sz w:val="26"/>
          <w:szCs w:val="26"/>
        </w:rPr>
        <w:t xml:space="preserve">– </w:t>
      </w:r>
      <w:r w:rsidR="00011EA9" w:rsidRPr="00FE5D00">
        <w:rPr>
          <w:rFonts w:ascii="Arial" w:hAnsi="Arial" w:cs="Arial"/>
          <w:i/>
          <w:iCs/>
          <w:sz w:val="26"/>
          <w:szCs w:val="26"/>
        </w:rPr>
        <w:t>sostiene</w:t>
      </w:r>
      <w:r w:rsidR="00B61C59" w:rsidRPr="00FE5D00">
        <w:rPr>
          <w:rFonts w:ascii="Arial" w:hAnsi="Arial" w:cs="Arial"/>
          <w:i/>
          <w:iCs/>
          <w:sz w:val="26"/>
          <w:szCs w:val="26"/>
        </w:rPr>
        <w:t xml:space="preserve"> </w:t>
      </w:r>
      <w:r w:rsidR="00FE5D00">
        <w:rPr>
          <w:rFonts w:ascii="Arial" w:hAnsi="Arial" w:cs="Arial"/>
          <w:i/>
          <w:iCs/>
          <w:sz w:val="26"/>
          <w:szCs w:val="26"/>
        </w:rPr>
        <w:t xml:space="preserve">l’Ing. </w:t>
      </w:r>
      <w:r w:rsidR="00B61C59" w:rsidRPr="00FE5D00">
        <w:rPr>
          <w:rFonts w:ascii="Arial" w:hAnsi="Arial" w:cs="Arial"/>
          <w:i/>
          <w:iCs/>
          <w:sz w:val="26"/>
          <w:szCs w:val="26"/>
        </w:rPr>
        <w:t xml:space="preserve">Rossato – perché </w:t>
      </w:r>
      <w:r w:rsidR="00011EA9" w:rsidRPr="00FE5D00">
        <w:rPr>
          <w:rFonts w:ascii="Arial" w:hAnsi="Arial" w:cs="Arial"/>
          <w:i/>
          <w:iCs/>
          <w:sz w:val="26"/>
          <w:szCs w:val="26"/>
        </w:rPr>
        <w:t>la situazione è grave e richiede urgentemente delle risposte</w:t>
      </w:r>
      <w:r w:rsidR="00E64336" w:rsidRPr="00FE5D00">
        <w:rPr>
          <w:rFonts w:ascii="Arial" w:hAnsi="Arial" w:cs="Arial"/>
          <w:i/>
          <w:iCs/>
          <w:sz w:val="26"/>
          <w:szCs w:val="26"/>
        </w:rPr>
        <w:t xml:space="preserve"> concrete</w:t>
      </w:r>
      <w:r w:rsidR="00011EA9" w:rsidRPr="00FE5D00">
        <w:rPr>
          <w:rFonts w:ascii="Arial" w:hAnsi="Arial" w:cs="Arial"/>
          <w:i/>
          <w:iCs/>
          <w:sz w:val="26"/>
          <w:szCs w:val="26"/>
        </w:rPr>
        <w:t xml:space="preserve"> sul fronte della prevenzione</w:t>
      </w:r>
      <w:r w:rsidR="00E64336" w:rsidRPr="00FE5D00">
        <w:rPr>
          <w:rFonts w:ascii="Arial" w:hAnsi="Arial" w:cs="Arial"/>
          <w:i/>
          <w:iCs/>
          <w:sz w:val="26"/>
          <w:szCs w:val="26"/>
        </w:rPr>
        <w:t>. Partendo proprio dal documento di valutazione dei rischi</w:t>
      </w:r>
      <w:r w:rsidR="00011EA9" w:rsidRPr="00FE5D00">
        <w:rPr>
          <w:rFonts w:ascii="Arial" w:hAnsi="Arial" w:cs="Arial"/>
          <w:i/>
          <w:iCs/>
          <w:sz w:val="26"/>
          <w:szCs w:val="26"/>
        </w:rPr>
        <w:t>”.</w:t>
      </w:r>
    </w:p>
    <w:p w:rsidR="00F91CBF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5D00">
        <w:rPr>
          <w:rFonts w:ascii="Arial" w:hAnsi="Arial" w:cs="Arial"/>
          <w:sz w:val="26"/>
          <w:szCs w:val="26"/>
        </w:rPr>
        <w:br/>
      </w:r>
    </w:p>
    <w:p w:rsidR="00F91CBF" w:rsidRPr="00F91CBF" w:rsidRDefault="00F91CBF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1CBF">
        <w:rPr>
          <w:rFonts w:ascii="Arial" w:hAnsi="Arial" w:cs="Arial"/>
          <w:sz w:val="26"/>
          <w:szCs w:val="26"/>
        </w:rPr>
        <w:lastRenderedPageBreak/>
        <w:t>Osservando invece l’incidenza della mortalità rispetto al numero di occupati</w:t>
      </w:r>
      <w:r>
        <w:rPr>
          <w:rFonts w:ascii="Arial" w:hAnsi="Arial" w:cs="Arial"/>
          <w:sz w:val="26"/>
          <w:szCs w:val="26"/>
        </w:rPr>
        <w:t>, il</w:t>
      </w:r>
      <w:r w:rsidRPr="00FE5D00">
        <w:rPr>
          <w:rFonts w:ascii="Arial" w:hAnsi="Arial" w:cs="Arial"/>
          <w:sz w:val="26"/>
          <w:szCs w:val="26"/>
        </w:rPr>
        <w:t xml:space="preserve"> Friuli </w:t>
      </w:r>
      <w:bookmarkStart w:id="0" w:name="_GoBack"/>
      <w:bookmarkEnd w:id="0"/>
      <w:r w:rsidRPr="00FE5D00">
        <w:rPr>
          <w:rFonts w:ascii="Arial" w:hAnsi="Arial" w:cs="Arial"/>
          <w:sz w:val="26"/>
          <w:szCs w:val="26"/>
        </w:rPr>
        <w:t>Venezia Giulia è la seconda regione del Nord dopo la Liguria (e quinta in Italia)</w:t>
      </w:r>
      <w:r>
        <w:rPr>
          <w:rFonts w:ascii="Arial" w:hAnsi="Arial" w:cs="Arial"/>
          <w:sz w:val="26"/>
          <w:szCs w:val="26"/>
        </w:rPr>
        <w:t xml:space="preserve"> </w:t>
      </w:r>
      <w:r w:rsidRPr="00F91CBF">
        <w:rPr>
          <w:rFonts w:ascii="Arial" w:hAnsi="Arial" w:cs="Arial"/>
          <w:sz w:val="26"/>
          <w:szCs w:val="26"/>
        </w:rPr>
        <w:t>con 47,5 infortuni ogni</w:t>
      </w:r>
      <w:r>
        <w:rPr>
          <w:rFonts w:ascii="Arial" w:hAnsi="Arial" w:cs="Arial"/>
          <w:sz w:val="26"/>
          <w:szCs w:val="26"/>
        </w:rPr>
        <w:t xml:space="preserve"> milione di occupati.</w:t>
      </w:r>
    </w:p>
    <w:p w:rsidR="005B2BA9" w:rsidRPr="00FE5D00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FE5D00">
        <w:rPr>
          <w:rFonts w:ascii="Arial" w:hAnsi="Arial" w:cs="Arial"/>
          <w:sz w:val="26"/>
          <w:szCs w:val="26"/>
        </w:rPr>
        <w:br/>
        <w:t>“</w:t>
      </w:r>
      <w:r w:rsidRPr="00FE5D00">
        <w:rPr>
          <w:rFonts w:ascii="Arial" w:hAnsi="Arial" w:cs="Arial"/>
          <w:i/>
          <w:iCs/>
          <w:sz w:val="26"/>
          <w:szCs w:val="26"/>
        </w:rPr>
        <w:t>A preoccupare</w:t>
      </w:r>
      <w:r w:rsidRPr="00FE5D00">
        <w:rPr>
          <w:rFonts w:ascii="Arial" w:hAnsi="Arial" w:cs="Arial"/>
          <w:sz w:val="26"/>
          <w:szCs w:val="26"/>
        </w:rPr>
        <w:t xml:space="preserve"> – </w:t>
      </w:r>
      <w:r w:rsidR="005B2BA9" w:rsidRPr="00FE5D00">
        <w:rPr>
          <w:rFonts w:ascii="Arial" w:hAnsi="Arial" w:cs="Arial"/>
          <w:sz w:val="26"/>
          <w:szCs w:val="26"/>
        </w:rPr>
        <w:t>spiega</w:t>
      </w:r>
      <w:r w:rsidRPr="00FE5D00">
        <w:rPr>
          <w:rFonts w:ascii="Arial" w:hAnsi="Arial" w:cs="Arial"/>
          <w:sz w:val="26"/>
          <w:szCs w:val="26"/>
        </w:rPr>
        <w:t xml:space="preserve"> </w:t>
      </w:r>
      <w:r w:rsidR="00FE5D00">
        <w:rPr>
          <w:rFonts w:ascii="Arial" w:hAnsi="Arial" w:cs="Arial"/>
          <w:sz w:val="26"/>
          <w:szCs w:val="26"/>
        </w:rPr>
        <w:t>il Presidente</w:t>
      </w:r>
      <w:r w:rsidRPr="00FE5D00">
        <w:rPr>
          <w:rFonts w:ascii="Arial" w:hAnsi="Arial" w:cs="Arial"/>
          <w:sz w:val="26"/>
          <w:szCs w:val="26"/>
        </w:rPr>
        <w:t xml:space="preserve"> – </w:t>
      </w:r>
      <w:r w:rsidRPr="00FE5D00">
        <w:rPr>
          <w:rFonts w:ascii="Arial" w:hAnsi="Arial" w:cs="Arial"/>
          <w:i/>
          <w:iCs/>
          <w:sz w:val="26"/>
          <w:szCs w:val="26"/>
        </w:rPr>
        <w:t>non dev</w:t>
      </w:r>
      <w:r w:rsidR="000D36E7">
        <w:rPr>
          <w:rFonts w:ascii="Arial" w:hAnsi="Arial" w:cs="Arial"/>
          <w:i/>
          <w:iCs/>
          <w:sz w:val="26"/>
          <w:szCs w:val="26"/>
        </w:rPr>
        <w:t>e</w:t>
      </w:r>
      <w:r w:rsidRPr="00FE5D00">
        <w:rPr>
          <w:rFonts w:ascii="Arial" w:hAnsi="Arial" w:cs="Arial"/>
          <w:i/>
          <w:iCs/>
          <w:sz w:val="26"/>
          <w:szCs w:val="26"/>
        </w:rPr>
        <w:t xml:space="preserve"> es</w:t>
      </w:r>
      <w:r w:rsidR="00DA416F">
        <w:rPr>
          <w:rFonts w:ascii="Arial" w:hAnsi="Arial" w:cs="Arial"/>
          <w:i/>
          <w:iCs/>
          <w:sz w:val="26"/>
          <w:szCs w:val="26"/>
        </w:rPr>
        <w:t xml:space="preserve">sere solo il numero di morti </w:t>
      </w:r>
      <w:r w:rsidRPr="00FE5D00">
        <w:rPr>
          <w:rFonts w:ascii="Arial" w:hAnsi="Arial" w:cs="Arial"/>
          <w:i/>
          <w:iCs/>
          <w:sz w:val="26"/>
          <w:szCs w:val="26"/>
        </w:rPr>
        <w:t xml:space="preserve">ma anche e soprattutto l’incremento della </w:t>
      </w:r>
      <w:r w:rsidR="005B2BA9" w:rsidRPr="00FE5D00">
        <w:rPr>
          <w:rFonts w:ascii="Arial" w:hAnsi="Arial" w:cs="Arial"/>
          <w:i/>
          <w:iCs/>
          <w:sz w:val="26"/>
          <w:szCs w:val="26"/>
        </w:rPr>
        <w:t xml:space="preserve">mortalità in occasione di lavoro. Il punto è che </w:t>
      </w:r>
      <w:r w:rsidR="00276815" w:rsidRPr="00FE5D00">
        <w:rPr>
          <w:rFonts w:ascii="Arial" w:hAnsi="Arial" w:cs="Arial"/>
          <w:i/>
          <w:iCs/>
          <w:sz w:val="26"/>
          <w:szCs w:val="26"/>
        </w:rPr>
        <w:t xml:space="preserve">l’emergenza </w:t>
      </w:r>
      <w:r w:rsidR="005B2BA9" w:rsidRPr="00FE5D00">
        <w:rPr>
          <w:rFonts w:ascii="Arial" w:hAnsi="Arial" w:cs="Arial"/>
          <w:i/>
          <w:iCs/>
          <w:sz w:val="26"/>
          <w:szCs w:val="26"/>
        </w:rPr>
        <w:t>non solo non rimane stabile, ma peggiora”.</w:t>
      </w:r>
    </w:p>
    <w:p w:rsidR="004750EA" w:rsidRPr="00FE5D00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bCs/>
          <w:i/>
          <w:sz w:val="26"/>
          <w:szCs w:val="26"/>
          <w:u w:val="single"/>
        </w:rPr>
      </w:pPr>
      <w:r w:rsidRPr="00FE5D00">
        <w:rPr>
          <w:rFonts w:ascii="Arial" w:hAnsi="Arial" w:cs="Arial"/>
          <w:sz w:val="26"/>
          <w:szCs w:val="26"/>
          <w:u w:val="single"/>
        </w:rPr>
        <w:br/>
      </w:r>
      <w:r w:rsidR="004750EA" w:rsidRPr="00FE5D00">
        <w:rPr>
          <w:rFonts w:ascii="Arial" w:hAnsi="Arial" w:cs="Arial"/>
          <w:bCs/>
          <w:i/>
          <w:sz w:val="26"/>
          <w:szCs w:val="26"/>
          <w:u w:val="single"/>
        </w:rPr>
        <w:t>A Udin</w:t>
      </w:r>
      <w:r w:rsidR="00AB068F" w:rsidRPr="00FE5D00">
        <w:rPr>
          <w:rFonts w:ascii="Arial" w:hAnsi="Arial" w:cs="Arial"/>
          <w:bCs/>
          <w:i/>
          <w:sz w:val="26"/>
          <w:szCs w:val="26"/>
          <w:u w:val="single"/>
        </w:rPr>
        <w:t>e sono 17 gli infortuni mortali totali.</w:t>
      </w:r>
      <w:r w:rsidR="00FE5D00">
        <w:rPr>
          <w:rFonts w:ascii="Arial" w:hAnsi="Arial" w:cs="Arial"/>
          <w:bCs/>
          <w:i/>
          <w:sz w:val="26"/>
          <w:szCs w:val="26"/>
          <w:u w:val="single"/>
        </w:rPr>
        <w:t xml:space="preserve"> A</w:t>
      </w:r>
      <w:r w:rsidR="00FE5D00" w:rsidRPr="00FE5D00">
        <w:rPr>
          <w:rFonts w:ascii="Arial" w:hAnsi="Arial" w:cs="Arial"/>
          <w:bCs/>
          <w:i/>
          <w:sz w:val="26"/>
          <w:szCs w:val="26"/>
          <w:u w:val="single"/>
        </w:rPr>
        <w:t xml:space="preserve"> Pordenone (6), </w:t>
      </w:r>
      <w:r w:rsidR="00FE5D00">
        <w:rPr>
          <w:rFonts w:ascii="Arial" w:hAnsi="Arial" w:cs="Arial"/>
          <w:bCs/>
          <w:i/>
          <w:sz w:val="26"/>
          <w:szCs w:val="26"/>
          <w:u w:val="single"/>
        </w:rPr>
        <w:t xml:space="preserve">a </w:t>
      </w:r>
      <w:r w:rsidR="004750EA" w:rsidRPr="00FE5D00">
        <w:rPr>
          <w:rFonts w:ascii="Arial" w:hAnsi="Arial" w:cs="Arial"/>
          <w:bCs/>
          <w:i/>
          <w:sz w:val="26"/>
          <w:szCs w:val="26"/>
          <w:u w:val="single"/>
        </w:rPr>
        <w:t xml:space="preserve">Gorizia (4), a Trieste (2). Ed è sempre Udine a guidare la classifica anche per numero di vittime in occasione di lavoro: 16 i decessi. Seguono: Gorizia (4), a Pordenone (3), a Trieste (1). </w:t>
      </w:r>
    </w:p>
    <w:p w:rsidR="00FE5D00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5D00">
        <w:rPr>
          <w:rFonts w:ascii="Arial" w:hAnsi="Arial" w:cs="Arial"/>
          <w:sz w:val="26"/>
          <w:szCs w:val="26"/>
        </w:rPr>
        <w:br/>
        <w:t xml:space="preserve">Le donne coinvolte in un infortunio mortale nel 2018 in </w:t>
      </w:r>
      <w:r w:rsidR="004750EA" w:rsidRPr="00FE5D00">
        <w:rPr>
          <w:rFonts w:ascii="Arial" w:hAnsi="Arial" w:cs="Arial"/>
          <w:sz w:val="26"/>
          <w:szCs w:val="26"/>
        </w:rPr>
        <w:t>Friuli Venezia Giulia</w:t>
      </w:r>
      <w:r w:rsidR="00184C23" w:rsidRPr="00FE5D00">
        <w:rPr>
          <w:rFonts w:ascii="Arial" w:hAnsi="Arial" w:cs="Arial"/>
          <w:sz w:val="26"/>
          <w:szCs w:val="26"/>
        </w:rPr>
        <w:t xml:space="preserve"> sono </w:t>
      </w:r>
      <w:r w:rsidR="004750EA" w:rsidRPr="00FE5D00">
        <w:rPr>
          <w:rFonts w:ascii="Arial" w:hAnsi="Arial" w:cs="Arial"/>
          <w:sz w:val="26"/>
          <w:szCs w:val="26"/>
        </w:rPr>
        <w:t>2</w:t>
      </w:r>
      <w:r w:rsidR="00C91C74" w:rsidRPr="00FE5D00">
        <w:rPr>
          <w:rFonts w:ascii="Arial" w:hAnsi="Arial" w:cs="Arial"/>
          <w:sz w:val="26"/>
          <w:szCs w:val="26"/>
        </w:rPr>
        <w:t>.</w:t>
      </w:r>
      <w:r w:rsidRPr="00FE5D00">
        <w:rPr>
          <w:rFonts w:ascii="Arial" w:hAnsi="Arial" w:cs="Arial"/>
          <w:sz w:val="26"/>
          <w:szCs w:val="26"/>
        </w:rPr>
        <w:t xml:space="preserve"> E ancora, sono </w:t>
      </w:r>
      <w:r w:rsidR="004750EA" w:rsidRPr="00FE5D00">
        <w:rPr>
          <w:rFonts w:ascii="Arial" w:hAnsi="Arial" w:cs="Arial"/>
          <w:sz w:val="26"/>
          <w:szCs w:val="26"/>
        </w:rPr>
        <w:t>4</w:t>
      </w:r>
      <w:r w:rsidRPr="00FE5D00">
        <w:rPr>
          <w:rFonts w:ascii="Arial" w:hAnsi="Arial" w:cs="Arial"/>
          <w:sz w:val="26"/>
          <w:szCs w:val="26"/>
        </w:rPr>
        <w:t xml:space="preserve"> gli stranieri deceduti sul lavoro nel 2018 in </w:t>
      </w:r>
      <w:r w:rsidR="00AB068F" w:rsidRPr="00FE5D00">
        <w:rPr>
          <w:rFonts w:ascii="Arial" w:hAnsi="Arial" w:cs="Arial"/>
          <w:sz w:val="26"/>
          <w:szCs w:val="26"/>
        </w:rPr>
        <w:t>regione</w:t>
      </w:r>
      <w:r w:rsidR="00F317F0">
        <w:rPr>
          <w:rFonts w:ascii="Arial" w:hAnsi="Arial" w:cs="Arial"/>
          <w:sz w:val="26"/>
          <w:szCs w:val="26"/>
        </w:rPr>
        <w:t>. L</w:t>
      </w:r>
      <w:r w:rsidR="00C91C74" w:rsidRPr="00FE5D00">
        <w:rPr>
          <w:rFonts w:ascii="Arial" w:hAnsi="Arial" w:cs="Arial"/>
          <w:sz w:val="26"/>
          <w:szCs w:val="26"/>
        </w:rPr>
        <w:t xml:space="preserve">a fascia d’età più colpita </w:t>
      </w:r>
      <w:r w:rsidR="00C84393" w:rsidRPr="00FE5D00">
        <w:rPr>
          <w:rFonts w:ascii="Arial" w:hAnsi="Arial" w:cs="Arial"/>
          <w:sz w:val="26"/>
          <w:szCs w:val="26"/>
        </w:rPr>
        <w:t>quella dei cinquantenni</w:t>
      </w:r>
      <w:r w:rsidRPr="00FE5D00">
        <w:rPr>
          <w:rFonts w:ascii="Arial" w:hAnsi="Arial" w:cs="Arial"/>
          <w:sz w:val="26"/>
          <w:szCs w:val="26"/>
        </w:rPr>
        <w:t>.</w:t>
      </w:r>
    </w:p>
    <w:p w:rsidR="00FE5D00" w:rsidRDefault="00FE5D00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A975FF" w:rsidRPr="00FE5D00" w:rsidRDefault="009A1802" w:rsidP="00FE5D00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5D00">
        <w:rPr>
          <w:rFonts w:ascii="Arial" w:hAnsi="Arial" w:cs="Arial"/>
          <w:sz w:val="26"/>
          <w:szCs w:val="26"/>
        </w:rPr>
        <w:t>Contemporaneamente, purtroppo, si aggrava anche il bilancio degli in</w:t>
      </w:r>
      <w:r w:rsidR="00E75340" w:rsidRPr="00FE5D00">
        <w:rPr>
          <w:rFonts w:ascii="Arial" w:hAnsi="Arial" w:cs="Arial"/>
          <w:sz w:val="26"/>
          <w:szCs w:val="26"/>
        </w:rPr>
        <w:t>fortuni non mortali: passati da</w:t>
      </w:r>
      <w:r w:rsidRPr="00FE5D00">
        <w:rPr>
          <w:rFonts w:ascii="Arial" w:hAnsi="Arial" w:cs="Arial"/>
          <w:sz w:val="26"/>
          <w:szCs w:val="26"/>
        </w:rPr>
        <w:t xml:space="preserve"> </w:t>
      </w:r>
      <w:r w:rsidR="00FE5D00">
        <w:rPr>
          <w:rFonts w:ascii="Arial" w:hAnsi="Arial" w:cs="Arial"/>
          <w:sz w:val="26"/>
          <w:szCs w:val="26"/>
        </w:rPr>
        <w:t xml:space="preserve">16.595 a </w:t>
      </w:r>
      <w:r w:rsidR="007B0DFF" w:rsidRPr="00FE5D00">
        <w:rPr>
          <w:rFonts w:ascii="Arial" w:hAnsi="Arial" w:cs="Arial"/>
          <w:sz w:val="26"/>
          <w:szCs w:val="26"/>
        </w:rPr>
        <w:t>17.246</w:t>
      </w:r>
      <w:r w:rsidRPr="00FE5D00">
        <w:rPr>
          <w:rFonts w:ascii="Arial" w:hAnsi="Arial" w:cs="Arial"/>
          <w:sz w:val="26"/>
          <w:szCs w:val="26"/>
        </w:rPr>
        <w:t xml:space="preserve">. Ancora una volta </w:t>
      </w:r>
      <w:r w:rsidR="00E20133" w:rsidRPr="00FE5D00">
        <w:rPr>
          <w:rFonts w:ascii="Arial" w:hAnsi="Arial" w:cs="Arial"/>
          <w:sz w:val="26"/>
          <w:szCs w:val="26"/>
        </w:rPr>
        <w:t xml:space="preserve">Udine in testa con </w:t>
      </w:r>
      <w:r w:rsidR="00660AD9" w:rsidRPr="00FE5D00">
        <w:rPr>
          <w:rFonts w:ascii="Arial" w:hAnsi="Arial" w:cs="Arial"/>
          <w:sz w:val="26"/>
          <w:szCs w:val="26"/>
        </w:rPr>
        <w:t>7.172</w:t>
      </w:r>
      <w:r w:rsidR="00E20133" w:rsidRPr="00FE5D00">
        <w:rPr>
          <w:rFonts w:ascii="Arial" w:hAnsi="Arial" w:cs="Arial"/>
          <w:sz w:val="26"/>
          <w:szCs w:val="26"/>
        </w:rPr>
        <w:t xml:space="preserve"> infortuni</w:t>
      </w:r>
      <w:r w:rsidR="007E158D" w:rsidRPr="00FE5D00">
        <w:rPr>
          <w:rFonts w:ascii="Arial" w:hAnsi="Arial" w:cs="Arial"/>
          <w:sz w:val="26"/>
          <w:szCs w:val="26"/>
        </w:rPr>
        <w:t>, seguita da:</w:t>
      </w:r>
      <w:r w:rsidR="00660AD9" w:rsidRPr="00FE5D00">
        <w:rPr>
          <w:rFonts w:ascii="Arial" w:hAnsi="Arial" w:cs="Arial"/>
          <w:sz w:val="26"/>
          <w:szCs w:val="26"/>
        </w:rPr>
        <w:t xml:space="preserve"> Pordenone</w:t>
      </w:r>
      <w:r w:rsidR="00FE5D00" w:rsidRPr="00FE5D00">
        <w:rPr>
          <w:rFonts w:ascii="Arial" w:hAnsi="Arial" w:cs="Arial"/>
          <w:sz w:val="26"/>
          <w:szCs w:val="26"/>
        </w:rPr>
        <w:t xml:space="preserve"> </w:t>
      </w:r>
      <w:r w:rsidR="00FE5D00">
        <w:rPr>
          <w:rFonts w:ascii="Arial" w:hAnsi="Arial" w:cs="Arial"/>
          <w:sz w:val="26"/>
          <w:szCs w:val="26"/>
        </w:rPr>
        <w:t>(</w:t>
      </w:r>
      <w:r w:rsidR="00660AD9" w:rsidRPr="00FE5D00">
        <w:rPr>
          <w:rFonts w:ascii="Arial" w:hAnsi="Arial" w:cs="Arial"/>
          <w:sz w:val="26"/>
          <w:szCs w:val="26"/>
        </w:rPr>
        <w:t>3.937</w:t>
      </w:r>
      <w:r w:rsidR="00FE5D00">
        <w:rPr>
          <w:rFonts w:ascii="Arial" w:hAnsi="Arial" w:cs="Arial"/>
          <w:sz w:val="26"/>
          <w:szCs w:val="26"/>
        </w:rPr>
        <w:t>),</w:t>
      </w:r>
      <w:r w:rsidR="00660AD9" w:rsidRPr="00FE5D00">
        <w:rPr>
          <w:rFonts w:ascii="Arial" w:hAnsi="Arial" w:cs="Arial"/>
          <w:sz w:val="26"/>
          <w:szCs w:val="26"/>
        </w:rPr>
        <w:t xml:space="preserve"> </w:t>
      </w:r>
      <w:r w:rsidR="00C0411F" w:rsidRPr="00FE5D00">
        <w:rPr>
          <w:rFonts w:ascii="Arial" w:hAnsi="Arial" w:cs="Arial"/>
          <w:sz w:val="26"/>
          <w:szCs w:val="26"/>
        </w:rPr>
        <w:t>Trieste</w:t>
      </w:r>
      <w:r w:rsidR="00660AD9" w:rsidRPr="00FE5D00">
        <w:rPr>
          <w:rFonts w:ascii="Arial" w:hAnsi="Arial" w:cs="Arial"/>
          <w:sz w:val="26"/>
          <w:szCs w:val="26"/>
        </w:rPr>
        <w:t xml:space="preserve"> </w:t>
      </w:r>
      <w:r w:rsidR="00FE5D00">
        <w:rPr>
          <w:rFonts w:ascii="Arial" w:hAnsi="Arial" w:cs="Arial"/>
          <w:sz w:val="26"/>
          <w:szCs w:val="26"/>
        </w:rPr>
        <w:t>(</w:t>
      </w:r>
      <w:r w:rsidR="00660AD9" w:rsidRPr="00FE5D00">
        <w:rPr>
          <w:rFonts w:ascii="Arial" w:hAnsi="Arial" w:cs="Arial"/>
          <w:sz w:val="26"/>
          <w:szCs w:val="26"/>
        </w:rPr>
        <w:t>3.656</w:t>
      </w:r>
      <w:r w:rsidR="00FE5D00">
        <w:rPr>
          <w:rFonts w:ascii="Arial" w:hAnsi="Arial" w:cs="Arial"/>
          <w:sz w:val="26"/>
          <w:szCs w:val="26"/>
        </w:rPr>
        <w:t>) e</w:t>
      </w:r>
      <w:r w:rsidR="00C0411F" w:rsidRPr="00FE5D00">
        <w:rPr>
          <w:rFonts w:ascii="Arial" w:hAnsi="Arial" w:cs="Arial"/>
          <w:sz w:val="26"/>
          <w:szCs w:val="26"/>
        </w:rPr>
        <w:t xml:space="preserve"> Gorizia</w:t>
      </w:r>
      <w:r w:rsidR="00FE5D00" w:rsidRPr="00FE5D00">
        <w:rPr>
          <w:rFonts w:ascii="Arial" w:hAnsi="Arial" w:cs="Arial"/>
          <w:sz w:val="26"/>
          <w:szCs w:val="26"/>
        </w:rPr>
        <w:t xml:space="preserve"> </w:t>
      </w:r>
      <w:r w:rsidR="00FE5D00">
        <w:rPr>
          <w:rFonts w:ascii="Arial" w:hAnsi="Arial" w:cs="Arial"/>
          <w:sz w:val="26"/>
          <w:szCs w:val="26"/>
        </w:rPr>
        <w:t>(</w:t>
      </w:r>
      <w:r w:rsidR="00C0411F" w:rsidRPr="00FE5D00">
        <w:rPr>
          <w:rFonts w:ascii="Arial" w:hAnsi="Arial" w:cs="Arial"/>
          <w:sz w:val="26"/>
          <w:szCs w:val="26"/>
        </w:rPr>
        <w:t>2.481</w:t>
      </w:r>
      <w:r w:rsidR="00FE5D00">
        <w:rPr>
          <w:rFonts w:ascii="Arial" w:hAnsi="Arial" w:cs="Arial"/>
          <w:sz w:val="26"/>
          <w:szCs w:val="26"/>
        </w:rPr>
        <w:t>).</w:t>
      </w:r>
    </w:p>
    <w:p w:rsidR="00FE5D00" w:rsidRPr="006B20E1" w:rsidRDefault="00FE5D00" w:rsidP="00FE5D00">
      <w:pPr>
        <w:pStyle w:val="stile1"/>
        <w:rPr>
          <w:i/>
          <w:iCs/>
          <w:color w:val="000000"/>
          <w:sz w:val="26"/>
          <w:szCs w:val="26"/>
        </w:rPr>
      </w:pPr>
      <w:r w:rsidRPr="005325CC">
        <w:rPr>
          <w:rFonts w:eastAsia="Times New Roman"/>
          <w:color w:val="000000" w:themeColor="text1"/>
          <w:sz w:val="24"/>
          <w:szCs w:val="24"/>
        </w:rPr>
        <w:t>Informazioni per la stampa</w:t>
      </w:r>
      <w:r w:rsidRPr="005325CC">
        <w:rPr>
          <w:rFonts w:eastAsia="Times New Roman"/>
          <w:color w:val="000000" w:themeColor="text1"/>
          <w:sz w:val="24"/>
          <w:szCs w:val="24"/>
        </w:rPr>
        <w:br/>
        <w:t>Dott.ssa Annamaria Bacchin</w:t>
      </w:r>
      <w:r w:rsidRPr="006F1C5F">
        <w:rPr>
          <w:rFonts w:eastAsia="Times New Roman"/>
          <w:sz w:val="26"/>
          <w:szCs w:val="26"/>
        </w:rPr>
        <w:br/>
      </w:r>
      <w:proofErr w:type="spellStart"/>
      <w:r w:rsidRPr="005325CC">
        <w:rPr>
          <w:rFonts w:eastAsia="Times New Roman"/>
          <w:color w:val="000000" w:themeColor="text1"/>
          <w:sz w:val="24"/>
          <w:szCs w:val="24"/>
        </w:rPr>
        <w:t>Tel</w:t>
      </w:r>
      <w:proofErr w:type="spellEnd"/>
      <w:r w:rsidRPr="005325CC">
        <w:rPr>
          <w:rFonts w:eastAsia="Times New Roman"/>
          <w:color w:val="000000" w:themeColor="text1"/>
          <w:sz w:val="24"/>
          <w:szCs w:val="24"/>
        </w:rPr>
        <w:t xml:space="preserve"> 041-8472474 -</w:t>
      </w:r>
      <w:r w:rsidRPr="006F1C5F">
        <w:rPr>
          <w:i/>
          <w:iCs/>
          <w:color w:val="000000"/>
          <w:sz w:val="26"/>
          <w:szCs w:val="26"/>
        </w:rPr>
        <w:t xml:space="preserve"> </w:t>
      </w:r>
      <w:hyperlink r:id="rId7" w:history="1">
        <w:r w:rsidRPr="006F1C5F">
          <w:rPr>
            <w:rStyle w:val="Collegamentoipertestuale"/>
            <w:i/>
            <w:iCs/>
            <w:sz w:val="26"/>
            <w:szCs w:val="26"/>
          </w:rPr>
          <w:t>marketing@vegaengineering.com</w:t>
        </w:r>
      </w:hyperlink>
      <w:r w:rsidRPr="006F1C5F">
        <w:rPr>
          <w:i/>
          <w:iCs/>
          <w:color w:val="000000"/>
          <w:sz w:val="26"/>
          <w:szCs w:val="26"/>
        </w:rPr>
        <w:br/>
      </w:r>
      <w:r w:rsidRPr="00BD51CA">
        <w:rPr>
          <w:rFonts w:eastAsia="Times New Roman"/>
          <w:sz w:val="24"/>
          <w:szCs w:val="24"/>
        </w:rPr>
        <w:t>www.vegaengineering.com</w:t>
      </w:r>
    </w:p>
    <w:p w:rsidR="00FE5D00" w:rsidRPr="00AB068F" w:rsidRDefault="00FE5D00" w:rsidP="00660AD9">
      <w:pPr>
        <w:pStyle w:val="Nessunaspaziatura"/>
        <w:spacing w:line="276" w:lineRule="auto"/>
        <w:rPr>
          <w:rFonts w:ascii="Arial" w:hAnsi="Arial" w:cs="Arial"/>
          <w:b/>
          <w:sz w:val="26"/>
          <w:szCs w:val="26"/>
        </w:rPr>
      </w:pPr>
    </w:p>
    <w:sectPr w:rsidR="00FE5D00" w:rsidRPr="00AB068F" w:rsidSect="00F12D61">
      <w:headerReference w:type="default" r:id="rId8"/>
      <w:footerReference w:type="even" r:id="rId9"/>
      <w:footerReference w:type="default" r:id="rId10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8D" w:rsidRDefault="00B06A8D" w:rsidP="00DA4690">
      <w:r>
        <w:separator/>
      </w:r>
    </w:p>
  </w:endnote>
  <w:endnote w:type="continuationSeparator" w:id="0">
    <w:p w:rsidR="00B06A8D" w:rsidRDefault="00B06A8D" w:rsidP="00D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F" w:rsidRDefault="001042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19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19E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E19EF" w:rsidRDefault="007E19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F" w:rsidRDefault="00ED7BE4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 w:rsidR="007E19EF">
      <w:rPr>
        <w:rStyle w:val="Numeropagina"/>
      </w:rPr>
      <w:t>3</w:t>
    </w:r>
    <w:r>
      <w:rPr>
        <w:rStyle w:val="Numeropagina"/>
      </w:rPr>
      <w:fldChar w:fldCharType="end"/>
    </w:r>
  </w:p>
  <w:p w:rsidR="007E19EF" w:rsidRDefault="007E19EF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:rsidR="007E19EF" w:rsidRDefault="007E19EF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>Socio unico - Centro Direzionale Terraglio 1 - Via Don Tosatto n. 37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:rsidR="007E19EF" w:rsidRPr="00D33685" w:rsidRDefault="007E19EF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:rsidR="007E19EF" w:rsidRPr="00D33685" w:rsidRDefault="000D36E7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7E19EF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8D" w:rsidRDefault="00B06A8D" w:rsidP="00DA4690">
      <w:r>
        <w:separator/>
      </w:r>
    </w:p>
  </w:footnote>
  <w:footnote w:type="continuationSeparator" w:id="0">
    <w:p w:rsidR="00B06A8D" w:rsidRDefault="00B06A8D" w:rsidP="00DA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918"/>
      <w:gridCol w:w="4918"/>
    </w:tblGrid>
    <w:tr w:rsidR="007E19EF" w:rsidTr="00F12D61">
      <w:tc>
        <w:tcPr>
          <w:tcW w:w="4918" w:type="dxa"/>
        </w:tcPr>
        <w:p w:rsidR="007E19EF" w:rsidRPr="00974BDC" w:rsidRDefault="00FC68BA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6D252713" wp14:editId="45590527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19EF">
            <w:br/>
          </w:r>
        </w:p>
      </w:tc>
      <w:tc>
        <w:tcPr>
          <w:tcW w:w="4918" w:type="dxa"/>
        </w:tcPr>
        <w:p w:rsidR="007E19EF" w:rsidRPr="00CE1998" w:rsidRDefault="002C6CB8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278FC0" wp14:editId="1FC25F6A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278F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Ygg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BEr6di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</w:p>
      </w:tc>
    </w:tr>
  </w:tbl>
  <w:p w:rsidR="007E19EF" w:rsidRPr="00ED6AB2" w:rsidRDefault="007E19EF" w:rsidP="00F12D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E"/>
    <w:rsid w:val="000015DF"/>
    <w:rsid w:val="00010A86"/>
    <w:rsid w:val="00010D77"/>
    <w:rsid w:val="00011EA9"/>
    <w:rsid w:val="000462FA"/>
    <w:rsid w:val="0006027D"/>
    <w:rsid w:val="000616DB"/>
    <w:rsid w:val="00064066"/>
    <w:rsid w:val="00065FF1"/>
    <w:rsid w:val="00075BF8"/>
    <w:rsid w:val="00077645"/>
    <w:rsid w:val="000929C1"/>
    <w:rsid w:val="00097652"/>
    <w:rsid w:val="000B1868"/>
    <w:rsid w:val="000B225D"/>
    <w:rsid w:val="000C2211"/>
    <w:rsid w:val="000C2351"/>
    <w:rsid w:val="000C3512"/>
    <w:rsid w:val="000D3615"/>
    <w:rsid w:val="000D36E7"/>
    <w:rsid w:val="000E0CEA"/>
    <w:rsid w:val="000E3A0D"/>
    <w:rsid w:val="000E4DED"/>
    <w:rsid w:val="000F4A4E"/>
    <w:rsid w:val="000F5C9B"/>
    <w:rsid w:val="0010423A"/>
    <w:rsid w:val="0010474E"/>
    <w:rsid w:val="001103AD"/>
    <w:rsid w:val="00110C59"/>
    <w:rsid w:val="001143D3"/>
    <w:rsid w:val="00120603"/>
    <w:rsid w:val="00120770"/>
    <w:rsid w:val="001212D7"/>
    <w:rsid w:val="0012591D"/>
    <w:rsid w:val="00152165"/>
    <w:rsid w:val="00172F4D"/>
    <w:rsid w:val="0018328C"/>
    <w:rsid w:val="00184C23"/>
    <w:rsid w:val="00184E65"/>
    <w:rsid w:val="00187E3B"/>
    <w:rsid w:val="00194B5E"/>
    <w:rsid w:val="001C631E"/>
    <w:rsid w:val="001C7558"/>
    <w:rsid w:val="001D376A"/>
    <w:rsid w:val="001E024B"/>
    <w:rsid w:val="001E6363"/>
    <w:rsid w:val="001E6DF3"/>
    <w:rsid w:val="001E6F99"/>
    <w:rsid w:val="00211FF0"/>
    <w:rsid w:val="002144B7"/>
    <w:rsid w:val="002243F2"/>
    <w:rsid w:val="00224B6C"/>
    <w:rsid w:val="0025081B"/>
    <w:rsid w:val="002702A3"/>
    <w:rsid w:val="00273918"/>
    <w:rsid w:val="00276815"/>
    <w:rsid w:val="002959D2"/>
    <w:rsid w:val="00296410"/>
    <w:rsid w:val="002A0049"/>
    <w:rsid w:val="002A020B"/>
    <w:rsid w:val="002A06D3"/>
    <w:rsid w:val="002C6CB8"/>
    <w:rsid w:val="002D0860"/>
    <w:rsid w:val="002F28FF"/>
    <w:rsid w:val="002F35D2"/>
    <w:rsid w:val="00300A4C"/>
    <w:rsid w:val="00306E93"/>
    <w:rsid w:val="00311CF2"/>
    <w:rsid w:val="00323478"/>
    <w:rsid w:val="003450C9"/>
    <w:rsid w:val="00352E8C"/>
    <w:rsid w:val="00353F36"/>
    <w:rsid w:val="00366BD9"/>
    <w:rsid w:val="003750CE"/>
    <w:rsid w:val="00383A19"/>
    <w:rsid w:val="003A65D1"/>
    <w:rsid w:val="003B5BD3"/>
    <w:rsid w:val="003C558C"/>
    <w:rsid w:val="003D4C75"/>
    <w:rsid w:val="003D5466"/>
    <w:rsid w:val="003F62C9"/>
    <w:rsid w:val="00406284"/>
    <w:rsid w:val="00410268"/>
    <w:rsid w:val="00415B34"/>
    <w:rsid w:val="00427111"/>
    <w:rsid w:val="0043173A"/>
    <w:rsid w:val="00431BF2"/>
    <w:rsid w:val="00436676"/>
    <w:rsid w:val="00452B48"/>
    <w:rsid w:val="00465BD9"/>
    <w:rsid w:val="00466B51"/>
    <w:rsid w:val="00467FCE"/>
    <w:rsid w:val="004750EA"/>
    <w:rsid w:val="0049602E"/>
    <w:rsid w:val="004B2B4E"/>
    <w:rsid w:val="004C39DC"/>
    <w:rsid w:val="004D0CE3"/>
    <w:rsid w:val="004F7328"/>
    <w:rsid w:val="00505584"/>
    <w:rsid w:val="00520EA1"/>
    <w:rsid w:val="005302D0"/>
    <w:rsid w:val="00535DE0"/>
    <w:rsid w:val="00546CB2"/>
    <w:rsid w:val="00550876"/>
    <w:rsid w:val="00577CAE"/>
    <w:rsid w:val="00580A61"/>
    <w:rsid w:val="0058226F"/>
    <w:rsid w:val="00586792"/>
    <w:rsid w:val="00597AB2"/>
    <w:rsid w:val="005A1D25"/>
    <w:rsid w:val="005A7090"/>
    <w:rsid w:val="005B2BA9"/>
    <w:rsid w:val="005B7C5C"/>
    <w:rsid w:val="005C104C"/>
    <w:rsid w:val="005D19F2"/>
    <w:rsid w:val="005D376B"/>
    <w:rsid w:val="005D4849"/>
    <w:rsid w:val="005D5916"/>
    <w:rsid w:val="005E12C1"/>
    <w:rsid w:val="005F5B87"/>
    <w:rsid w:val="0060468C"/>
    <w:rsid w:val="0060771A"/>
    <w:rsid w:val="006162A2"/>
    <w:rsid w:val="006316BD"/>
    <w:rsid w:val="00631809"/>
    <w:rsid w:val="006423A4"/>
    <w:rsid w:val="00646358"/>
    <w:rsid w:val="00646478"/>
    <w:rsid w:val="0065587A"/>
    <w:rsid w:val="00660AD9"/>
    <w:rsid w:val="00683E24"/>
    <w:rsid w:val="006A48E3"/>
    <w:rsid w:val="006A6079"/>
    <w:rsid w:val="006C390D"/>
    <w:rsid w:val="006C683F"/>
    <w:rsid w:val="006D1A92"/>
    <w:rsid w:val="006E1CFC"/>
    <w:rsid w:val="0072459F"/>
    <w:rsid w:val="00737BEC"/>
    <w:rsid w:val="00743EED"/>
    <w:rsid w:val="007441CE"/>
    <w:rsid w:val="00752003"/>
    <w:rsid w:val="00756D3D"/>
    <w:rsid w:val="00772262"/>
    <w:rsid w:val="00774DEE"/>
    <w:rsid w:val="00790032"/>
    <w:rsid w:val="007911BD"/>
    <w:rsid w:val="007A5B77"/>
    <w:rsid w:val="007B0BAB"/>
    <w:rsid w:val="007B0DFF"/>
    <w:rsid w:val="007D2838"/>
    <w:rsid w:val="007E158D"/>
    <w:rsid w:val="007E19EF"/>
    <w:rsid w:val="007F4F80"/>
    <w:rsid w:val="00837D69"/>
    <w:rsid w:val="0084151B"/>
    <w:rsid w:val="008607FF"/>
    <w:rsid w:val="00862E5A"/>
    <w:rsid w:val="00886D75"/>
    <w:rsid w:val="0089089D"/>
    <w:rsid w:val="008B46A7"/>
    <w:rsid w:val="008C190D"/>
    <w:rsid w:val="008D76F1"/>
    <w:rsid w:val="009107AE"/>
    <w:rsid w:val="009145D5"/>
    <w:rsid w:val="00923227"/>
    <w:rsid w:val="00942C0E"/>
    <w:rsid w:val="009430AB"/>
    <w:rsid w:val="00956852"/>
    <w:rsid w:val="00966DFE"/>
    <w:rsid w:val="00967D86"/>
    <w:rsid w:val="0098131C"/>
    <w:rsid w:val="00990B49"/>
    <w:rsid w:val="009955DC"/>
    <w:rsid w:val="009A1802"/>
    <w:rsid w:val="009A2A5E"/>
    <w:rsid w:val="009A6603"/>
    <w:rsid w:val="009C2A1C"/>
    <w:rsid w:val="009C6BB7"/>
    <w:rsid w:val="009D5708"/>
    <w:rsid w:val="009E0A4D"/>
    <w:rsid w:val="00A03E0D"/>
    <w:rsid w:val="00A06191"/>
    <w:rsid w:val="00A0621A"/>
    <w:rsid w:val="00A23C4C"/>
    <w:rsid w:val="00A2657D"/>
    <w:rsid w:val="00A36FA3"/>
    <w:rsid w:val="00A37AF9"/>
    <w:rsid w:val="00A37DE5"/>
    <w:rsid w:val="00A51F74"/>
    <w:rsid w:val="00A61D8B"/>
    <w:rsid w:val="00A82C98"/>
    <w:rsid w:val="00A85761"/>
    <w:rsid w:val="00A93D84"/>
    <w:rsid w:val="00A975FF"/>
    <w:rsid w:val="00AB068F"/>
    <w:rsid w:val="00AB0D27"/>
    <w:rsid w:val="00AD6534"/>
    <w:rsid w:val="00AD77AF"/>
    <w:rsid w:val="00AE44E4"/>
    <w:rsid w:val="00AE5269"/>
    <w:rsid w:val="00AE5664"/>
    <w:rsid w:val="00AE7DC4"/>
    <w:rsid w:val="00B00486"/>
    <w:rsid w:val="00B06A8D"/>
    <w:rsid w:val="00B16D4E"/>
    <w:rsid w:val="00B1734C"/>
    <w:rsid w:val="00B32536"/>
    <w:rsid w:val="00B3346B"/>
    <w:rsid w:val="00B515C3"/>
    <w:rsid w:val="00B61C59"/>
    <w:rsid w:val="00B767BE"/>
    <w:rsid w:val="00B842CF"/>
    <w:rsid w:val="00B92257"/>
    <w:rsid w:val="00B93ED4"/>
    <w:rsid w:val="00B95C60"/>
    <w:rsid w:val="00BA29E8"/>
    <w:rsid w:val="00BB5914"/>
    <w:rsid w:val="00BC3A2B"/>
    <w:rsid w:val="00BC3D44"/>
    <w:rsid w:val="00BC749E"/>
    <w:rsid w:val="00BD3D7C"/>
    <w:rsid w:val="00BD6E60"/>
    <w:rsid w:val="00C0411F"/>
    <w:rsid w:val="00C32877"/>
    <w:rsid w:val="00C362F0"/>
    <w:rsid w:val="00C73FE3"/>
    <w:rsid w:val="00C75914"/>
    <w:rsid w:val="00C77881"/>
    <w:rsid w:val="00C84393"/>
    <w:rsid w:val="00C915B4"/>
    <w:rsid w:val="00C91C74"/>
    <w:rsid w:val="00CA7F74"/>
    <w:rsid w:val="00CC4183"/>
    <w:rsid w:val="00CC54D4"/>
    <w:rsid w:val="00CD1809"/>
    <w:rsid w:val="00CE2E1E"/>
    <w:rsid w:val="00D0447A"/>
    <w:rsid w:val="00D05076"/>
    <w:rsid w:val="00D14A0D"/>
    <w:rsid w:val="00D1679B"/>
    <w:rsid w:val="00D31235"/>
    <w:rsid w:val="00D339B5"/>
    <w:rsid w:val="00D66B4B"/>
    <w:rsid w:val="00D75796"/>
    <w:rsid w:val="00DA1B15"/>
    <w:rsid w:val="00DA3F88"/>
    <w:rsid w:val="00DA416F"/>
    <w:rsid w:val="00DA4690"/>
    <w:rsid w:val="00DA56FA"/>
    <w:rsid w:val="00DC65A9"/>
    <w:rsid w:val="00DE4E4B"/>
    <w:rsid w:val="00E05E8F"/>
    <w:rsid w:val="00E20133"/>
    <w:rsid w:val="00E2063C"/>
    <w:rsid w:val="00E43B6F"/>
    <w:rsid w:val="00E46D35"/>
    <w:rsid w:val="00E61731"/>
    <w:rsid w:val="00E64336"/>
    <w:rsid w:val="00E665C2"/>
    <w:rsid w:val="00E75340"/>
    <w:rsid w:val="00E903A9"/>
    <w:rsid w:val="00E9694D"/>
    <w:rsid w:val="00E97902"/>
    <w:rsid w:val="00EA118A"/>
    <w:rsid w:val="00EA5F4C"/>
    <w:rsid w:val="00EB76E1"/>
    <w:rsid w:val="00ED7BE4"/>
    <w:rsid w:val="00F12D61"/>
    <w:rsid w:val="00F1578D"/>
    <w:rsid w:val="00F30038"/>
    <w:rsid w:val="00F317F0"/>
    <w:rsid w:val="00F3459F"/>
    <w:rsid w:val="00F44884"/>
    <w:rsid w:val="00F45D97"/>
    <w:rsid w:val="00F476A7"/>
    <w:rsid w:val="00F607D9"/>
    <w:rsid w:val="00F675C7"/>
    <w:rsid w:val="00F84B13"/>
    <w:rsid w:val="00F91CBF"/>
    <w:rsid w:val="00FA5C9D"/>
    <w:rsid w:val="00FB0344"/>
    <w:rsid w:val="00FC68BA"/>
    <w:rsid w:val="00FD7DDE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BFCF02-305D-4BB5-A5AE-5738CE42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77CA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577CAE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77CAE"/>
  </w:style>
  <w:style w:type="paragraph" w:styleId="Intestazione">
    <w:name w:val="header"/>
    <w:basedOn w:val="Normale"/>
    <w:link w:val="IntestazioneCarattere"/>
    <w:rsid w:val="00577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C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77CAE"/>
    <w:rPr>
      <w:color w:val="0000FF"/>
      <w:u w:val="single"/>
    </w:rPr>
  </w:style>
  <w:style w:type="paragraph" w:customStyle="1" w:styleId="stile1">
    <w:name w:val="stile1"/>
    <w:basedOn w:val="Normale"/>
    <w:uiPriority w:val="99"/>
    <w:rsid w:val="00577CAE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CB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3">
    <w:name w:val="style13"/>
    <w:basedOn w:val="Normale"/>
    <w:uiPriority w:val="99"/>
    <w:rsid w:val="0012591D"/>
    <w:pPr>
      <w:spacing w:before="100" w:beforeAutospacing="1" w:after="100" w:afterAutospacing="1"/>
    </w:pPr>
    <w:rPr>
      <w:rFonts w:ascii="Arial" w:eastAsia="Calibri" w:hAnsi="Arial" w:cs="Arial"/>
      <w:b/>
      <w:bCs/>
      <w:color w:val="000066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12591D"/>
    <w:rPr>
      <w:b/>
      <w:bCs/>
    </w:rPr>
  </w:style>
  <w:style w:type="paragraph" w:styleId="Nessunaspaziatura">
    <w:name w:val="No Spacing"/>
    <w:uiPriority w:val="1"/>
    <w:qFormat/>
    <w:rsid w:val="009E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90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4" w:color="auto"/>
                            <w:bottom w:val="single" w:sz="2" w:space="0" w:color="auto"/>
                            <w:right w:val="single" w:sz="2" w:space="4" w:color="auto"/>
                          </w:divBdr>
                          <w:divsChild>
                            <w:div w:id="1409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auto"/>
                            <w:left w:val="single" w:sz="2" w:space="15" w:color="auto"/>
                            <w:bottom w:val="single" w:sz="2" w:space="0" w:color="auto"/>
                            <w:right w:val="single" w:sz="2" w:space="15" w:color="auto"/>
                          </w:divBdr>
                          <w:divsChild>
                            <w:div w:id="20497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vegaengineer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731F-665B-4099-ABD3-698E14B7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baretta</dc:creator>
  <cp:lastModifiedBy>Giorgia Baretta - Gruppo Vega</cp:lastModifiedBy>
  <cp:revision>32</cp:revision>
  <cp:lastPrinted>2019-02-13T13:35:00Z</cp:lastPrinted>
  <dcterms:created xsi:type="dcterms:W3CDTF">2019-02-02T10:53:00Z</dcterms:created>
  <dcterms:modified xsi:type="dcterms:W3CDTF">2019-02-14T09:23:00Z</dcterms:modified>
</cp:coreProperties>
</file>